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 w:eastAsia="仿宋_GB2312"/>
          <w:color w:val="000000"/>
          <w:sz w:val="44"/>
          <w:szCs w:val="44"/>
        </w:rPr>
      </w:pPr>
    </w:p>
    <w:p>
      <w:pPr>
        <w:jc w:val="center"/>
        <w:rPr>
          <w:rFonts w:hint="eastAsia" w:ascii="仿宋_GB2312" w:hAnsi="仿宋" w:eastAsia="仿宋_GB2312"/>
          <w:color w:val="000000"/>
          <w:sz w:val="44"/>
          <w:szCs w:val="44"/>
        </w:rPr>
      </w:pPr>
    </w:p>
    <w:p>
      <w:pPr>
        <w:pStyle w:val="104"/>
        <w:spacing w:before="0" w:after="0" w:line="360" w:lineRule="auto"/>
        <w:ind w:firstLine="0"/>
        <w:jc w:val="center"/>
        <w:rPr>
          <w:rFonts w:hint="eastAsia" w:ascii="宋体" w:hAnsi="宋体" w:cs="黑体"/>
          <w:b/>
          <w:sz w:val="52"/>
          <w:szCs w:val="52"/>
        </w:rPr>
      </w:pPr>
      <w:r>
        <w:rPr>
          <w:rFonts w:hint="eastAsia" w:ascii="宋体" w:hAnsi="宋体" w:cs="黑体"/>
          <w:b/>
          <w:sz w:val="52"/>
          <w:szCs w:val="52"/>
          <w:lang w:val="en-US" w:eastAsia="zh-CN"/>
        </w:rPr>
        <w:t>北川</w:t>
      </w:r>
      <w:r>
        <w:rPr>
          <w:rFonts w:hint="eastAsia" w:ascii="宋体" w:hAnsi="宋体" w:cs="黑体"/>
          <w:b/>
          <w:sz w:val="52"/>
          <w:szCs w:val="52"/>
          <w:lang w:val="en-US" w:eastAsia="zh-CN"/>
        </w:rPr>
        <w:t>发展污水处理有限责任</w:t>
      </w:r>
      <w:r>
        <w:rPr>
          <w:rFonts w:hint="eastAsia" w:ascii="宋体" w:hAnsi="宋体" w:cs="黑体"/>
          <w:b/>
          <w:sz w:val="52"/>
          <w:szCs w:val="52"/>
        </w:rPr>
        <w:t>公司</w:t>
      </w:r>
    </w:p>
    <w:p>
      <w:pPr>
        <w:pStyle w:val="104"/>
        <w:spacing w:before="0" w:after="0" w:line="360" w:lineRule="auto"/>
        <w:ind w:firstLine="0"/>
        <w:jc w:val="center"/>
        <w:rPr>
          <w:rFonts w:hint="eastAsia" w:ascii="黑体" w:hAnsi="黑体" w:eastAsia="黑体" w:cs="黑体"/>
          <w:b/>
          <w:kern w:val="2"/>
          <w:sz w:val="52"/>
          <w:szCs w:val="52"/>
        </w:rPr>
      </w:pPr>
      <w:r>
        <w:rPr>
          <w:rFonts w:hint="eastAsia" w:ascii="黑体" w:hAnsi="黑体" w:eastAsia="黑体" w:cs="黑体"/>
          <w:b/>
          <w:sz w:val="52"/>
          <w:szCs w:val="52"/>
          <w:lang w:val="en-US" w:eastAsia="zh-CN"/>
        </w:rPr>
        <w:t>一般</w:t>
      </w:r>
      <w:r>
        <w:rPr>
          <w:rFonts w:hint="eastAsia" w:ascii="黑体" w:hAnsi="黑体" w:eastAsia="黑体" w:cs="黑体"/>
          <w:b/>
          <w:sz w:val="52"/>
          <w:szCs w:val="52"/>
          <w:lang w:val="en-US" w:eastAsia="zh-CN"/>
        </w:rPr>
        <w:t>固废处置采购</w:t>
      </w:r>
      <w:r>
        <w:rPr>
          <w:rFonts w:hint="eastAsia" w:ascii="黑体" w:hAnsi="黑体" w:eastAsia="黑体" w:cs="黑体"/>
          <w:b/>
          <w:sz w:val="52"/>
          <w:szCs w:val="52"/>
        </w:rPr>
        <w:t>项目</w:t>
      </w:r>
    </w:p>
    <w:p>
      <w:pPr>
        <w:pStyle w:val="104"/>
        <w:spacing w:before="0" w:after="0" w:line="360" w:lineRule="auto"/>
        <w:ind w:firstLine="0"/>
        <w:jc w:val="center"/>
        <w:rPr>
          <w:rFonts w:hint="eastAsia" w:ascii="仿宋_GB2312" w:hAnsi="仿宋" w:eastAsia="仿宋_GB2312" w:cs="Times New Roman"/>
          <w:b/>
          <w:kern w:val="2"/>
          <w:sz w:val="84"/>
          <w:szCs w:val="84"/>
        </w:rPr>
      </w:pPr>
    </w:p>
    <w:p>
      <w:pPr>
        <w:jc w:val="center"/>
        <w:rPr>
          <w:rFonts w:hint="eastAsia" w:ascii="宋体" w:hAnsi="宋体"/>
          <w:b/>
          <w:color w:val="000000"/>
          <w:sz w:val="52"/>
          <w:szCs w:val="52"/>
        </w:rPr>
      </w:pPr>
      <w:r>
        <w:rPr>
          <w:rFonts w:hint="eastAsia" w:ascii="宋体" w:hAnsi="宋体"/>
          <w:b/>
          <w:color w:val="000000"/>
          <w:sz w:val="52"/>
          <w:szCs w:val="52"/>
        </w:rPr>
        <w:t>竞争性谈判</w:t>
      </w:r>
      <w:r>
        <w:rPr>
          <w:rFonts w:hint="eastAsia" w:ascii="宋体" w:hAnsi="宋体"/>
          <w:b/>
          <w:color w:val="000000"/>
          <w:sz w:val="52"/>
          <w:szCs w:val="52"/>
          <w:lang w:eastAsia="zh-CN"/>
        </w:rPr>
        <w:t>（</w:t>
      </w:r>
      <w:r>
        <w:rPr>
          <w:rFonts w:hint="eastAsia" w:ascii="宋体" w:hAnsi="宋体"/>
          <w:b/>
          <w:color w:val="000000"/>
          <w:sz w:val="52"/>
          <w:szCs w:val="52"/>
          <w:lang w:val="en-US" w:eastAsia="zh-CN"/>
        </w:rPr>
        <w:t>公开</w:t>
      </w:r>
      <w:r>
        <w:rPr>
          <w:rFonts w:hint="eastAsia" w:ascii="宋体" w:hAnsi="宋体"/>
          <w:b/>
          <w:color w:val="000000"/>
          <w:sz w:val="52"/>
          <w:szCs w:val="52"/>
          <w:lang w:eastAsia="zh-CN"/>
        </w:rPr>
        <w:t>）</w:t>
      </w:r>
      <w:r>
        <w:rPr>
          <w:rFonts w:hint="eastAsia" w:ascii="宋体" w:hAnsi="宋体"/>
          <w:b/>
          <w:color w:val="000000"/>
          <w:sz w:val="52"/>
          <w:szCs w:val="52"/>
          <w:lang w:val="en-US" w:eastAsia="zh-CN"/>
        </w:rPr>
        <w:t>邀请</w:t>
      </w:r>
      <w:r>
        <w:rPr>
          <w:rFonts w:hint="eastAsia" w:ascii="宋体" w:hAnsi="宋体"/>
          <w:b/>
          <w:color w:val="000000"/>
          <w:sz w:val="52"/>
          <w:szCs w:val="52"/>
        </w:rPr>
        <w:t>文件</w:t>
      </w:r>
    </w:p>
    <w:p>
      <w:pPr>
        <w:rPr>
          <w:rFonts w:hint="eastAsia" w:ascii="仿宋_GB2312" w:hAnsi="仿宋" w:eastAsia="仿宋_GB2312"/>
          <w:color w:val="000000"/>
        </w:rPr>
      </w:pPr>
    </w:p>
    <w:p>
      <w:pPr>
        <w:rPr>
          <w:rFonts w:hint="eastAsia" w:ascii="仿宋_GB2312" w:hAnsi="仿宋" w:eastAsia="仿宋_GB2312"/>
          <w:color w:val="000000"/>
          <w:sz w:val="36"/>
          <w:szCs w:val="36"/>
        </w:rPr>
      </w:pPr>
    </w:p>
    <w:p>
      <w:pPr>
        <w:rPr>
          <w:rFonts w:hint="eastAsia" w:ascii="仿宋_GB2312" w:hAnsi="仿宋" w:eastAsia="仿宋_GB2312"/>
          <w:color w:val="000000"/>
          <w:sz w:val="36"/>
          <w:szCs w:val="36"/>
        </w:rPr>
      </w:pPr>
    </w:p>
    <w:p>
      <w:pPr>
        <w:rPr>
          <w:rFonts w:hint="eastAsia" w:ascii="仿宋_GB2312" w:hAnsi="仿宋" w:eastAsia="仿宋_GB2312"/>
          <w:color w:val="000000"/>
          <w:sz w:val="36"/>
          <w:szCs w:val="36"/>
        </w:rPr>
      </w:pPr>
    </w:p>
    <w:p>
      <w:pPr>
        <w:rPr>
          <w:rFonts w:hint="eastAsia" w:ascii="仿宋_GB2312" w:hAnsi="仿宋" w:eastAsia="仿宋_GB2312"/>
          <w:color w:val="000000"/>
          <w:sz w:val="36"/>
          <w:szCs w:val="36"/>
        </w:rPr>
      </w:pPr>
    </w:p>
    <w:p>
      <w:pPr>
        <w:rPr>
          <w:rFonts w:hint="eastAsia" w:ascii="仿宋_GB2312" w:hAnsi="仿宋" w:eastAsia="仿宋_GB2312"/>
          <w:color w:val="000000"/>
          <w:sz w:val="36"/>
          <w:szCs w:val="36"/>
        </w:rPr>
      </w:pPr>
    </w:p>
    <w:p>
      <w:pPr>
        <w:rPr>
          <w:rFonts w:hint="eastAsia" w:ascii="仿宋_GB2312" w:hAnsi="仿宋" w:eastAsia="仿宋_GB2312"/>
          <w:color w:val="000000"/>
          <w:sz w:val="36"/>
          <w:szCs w:val="36"/>
        </w:rPr>
      </w:pPr>
    </w:p>
    <w:p>
      <w:pPr>
        <w:rPr>
          <w:rFonts w:hint="eastAsia" w:ascii="仿宋_GB2312" w:hAnsi="仿宋" w:eastAsia="仿宋_GB2312"/>
          <w:color w:val="000000"/>
          <w:sz w:val="36"/>
          <w:szCs w:val="36"/>
        </w:rPr>
      </w:pPr>
    </w:p>
    <w:p>
      <w:pPr>
        <w:rPr>
          <w:rFonts w:hint="eastAsia" w:ascii="仿宋_GB2312" w:hAnsi="仿宋" w:eastAsia="仿宋_GB2312"/>
          <w:color w:val="000000"/>
          <w:sz w:val="36"/>
          <w:szCs w:val="36"/>
        </w:rPr>
      </w:pPr>
    </w:p>
    <w:p>
      <w:pPr>
        <w:pStyle w:val="104"/>
        <w:spacing w:before="0" w:after="0" w:line="360" w:lineRule="auto"/>
        <w:ind w:left="1807" w:hanging="1807" w:hangingChars="500"/>
        <w:rPr>
          <w:rFonts w:hint="default" w:ascii="仿宋_GB2312" w:hAnsi="仿宋" w:eastAsia="仿宋_GB2312" w:cs="Times New Roman"/>
          <w:color w:val="000000"/>
          <w:kern w:val="2"/>
          <w:sz w:val="32"/>
          <w:szCs w:val="32"/>
          <w:lang w:val="en-US" w:eastAsia="zh-CN"/>
        </w:rPr>
      </w:pPr>
      <w:r>
        <w:rPr>
          <w:rFonts w:hint="eastAsia" w:ascii="仿宋_GB2312" w:hAnsi="仿宋" w:eastAsia="仿宋_GB2312" w:cs="Times New Roman"/>
          <w:b/>
          <w:bCs/>
          <w:color w:val="000000"/>
          <w:kern w:val="2"/>
          <w:sz w:val="36"/>
          <w:szCs w:val="36"/>
        </w:rPr>
        <w:t>项目名称：</w:t>
      </w:r>
      <w:r>
        <w:rPr>
          <w:rFonts w:hint="eastAsia" w:ascii="仿宋_GB2312" w:hAnsi="仿宋" w:eastAsia="仿宋_GB2312" w:cs="Times New Roman"/>
          <w:b/>
          <w:bCs/>
          <w:color w:val="000000"/>
          <w:kern w:val="2"/>
          <w:sz w:val="36"/>
          <w:szCs w:val="36"/>
          <w:lang w:val="en-US" w:eastAsia="zh-CN"/>
        </w:rPr>
        <w:t>一般固废处置采购项目</w:t>
      </w:r>
    </w:p>
    <w:p>
      <w:pPr>
        <w:spacing w:line="360" w:lineRule="auto"/>
        <w:jc w:val="left"/>
        <w:rPr>
          <w:rFonts w:hint="default" w:ascii="仿宋_GB2312" w:hAnsi="仿宋" w:eastAsia="仿宋_GB2312"/>
          <w:bCs/>
          <w:color w:val="000000"/>
          <w:sz w:val="36"/>
          <w:szCs w:val="36"/>
          <w:lang w:val="en-US" w:eastAsia="zh-CN"/>
        </w:rPr>
      </w:pPr>
      <w:r>
        <w:rPr>
          <w:rFonts w:hint="eastAsia" w:ascii="仿宋_GB2312" w:hAnsi="仿宋" w:eastAsia="仿宋_GB2312"/>
          <w:b/>
          <w:bCs/>
          <w:color w:val="000000"/>
          <w:sz w:val="36"/>
          <w:szCs w:val="36"/>
        </w:rPr>
        <w:t>采 购 人：</w:t>
      </w:r>
      <w:r>
        <w:rPr>
          <w:rFonts w:hint="eastAsia" w:ascii="仿宋_GB2312" w:hAnsi="仿宋" w:eastAsia="仿宋_GB2312"/>
          <w:b/>
          <w:bCs/>
          <w:color w:val="000000"/>
          <w:sz w:val="36"/>
          <w:szCs w:val="36"/>
          <w:lang w:val="en-US" w:eastAsia="zh-CN"/>
        </w:rPr>
        <w:t>北川发展污水处理有限责任公司</w:t>
      </w:r>
    </w:p>
    <w:p>
      <w:pPr>
        <w:spacing w:line="360" w:lineRule="auto"/>
        <w:jc w:val="left"/>
        <w:rPr>
          <w:rFonts w:hint="default" w:ascii="仿宋_GB2312" w:hAnsi="仿宋" w:eastAsia="仿宋_GB2312"/>
          <w:b/>
          <w:bCs/>
          <w:color w:val="000000"/>
          <w:sz w:val="36"/>
          <w:szCs w:val="36"/>
          <w:lang w:val="en-US" w:eastAsia="zh-CN"/>
        </w:rPr>
      </w:pPr>
      <w:r>
        <w:rPr>
          <w:rFonts w:hint="eastAsia" w:ascii="仿宋_GB2312" w:hAnsi="仿宋" w:eastAsia="仿宋_GB2312"/>
          <w:b/>
          <w:bCs/>
          <w:color w:val="000000"/>
          <w:sz w:val="36"/>
          <w:szCs w:val="36"/>
        </w:rPr>
        <w:t>日    期：</w:t>
      </w:r>
      <w:r>
        <w:rPr>
          <w:rFonts w:hint="eastAsia" w:ascii="仿宋_GB2312" w:hAnsi="仿宋" w:eastAsia="仿宋_GB2312"/>
          <w:b/>
          <w:bCs/>
          <w:color w:val="000000"/>
          <w:sz w:val="36"/>
          <w:szCs w:val="36"/>
          <w:lang w:val="en-US" w:eastAsia="zh-CN"/>
        </w:rPr>
        <w:t>2021年1月18日</w:t>
      </w:r>
    </w:p>
    <w:p>
      <w:pPr>
        <w:spacing w:line="360" w:lineRule="auto"/>
        <w:jc w:val="left"/>
        <w:rPr>
          <w:rFonts w:hint="eastAsia" w:ascii="仿宋_GB2312" w:hAnsi="仿宋" w:eastAsia="仿宋_GB2312"/>
          <w:b/>
          <w:bCs/>
          <w:color w:val="000000"/>
          <w:sz w:val="36"/>
          <w:szCs w:val="36"/>
        </w:rPr>
      </w:pPr>
    </w:p>
    <w:p>
      <w:pPr>
        <w:spacing w:line="360" w:lineRule="auto"/>
        <w:jc w:val="left"/>
        <w:rPr>
          <w:rFonts w:hint="eastAsia" w:ascii="仿宋_GB2312" w:hAnsi="仿宋" w:eastAsia="仿宋_GB2312"/>
          <w:b/>
          <w:bCs/>
          <w:color w:val="000000"/>
          <w:sz w:val="36"/>
          <w:szCs w:val="36"/>
        </w:rPr>
      </w:pPr>
    </w:p>
    <w:p>
      <w:pPr>
        <w:spacing w:line="360" w:lineRule="auto"/>
        <w:jc w:val="left"/>
        <w:rPr>
          <w:rFonts w:hint="eastAsia" w:ascii="仿宋_GB2312" w:hAnsi="仿宋" w:eastAsia="仿宋_GB2312"/>
          <w:b/>
          <w:bCs/>
          <w:color w:val="000000"/>
          <w:sz w:val="36"/>
          <w:szCs w:val="36"/>
        </w:rPr>
      </w:pPr>
    </w:p>
    <w:p>
      <w:pPr>
        <w:jc w:val="center"/>
        <w:rPr>
          <w:rFonts w:hint="eastAsia" w:ascii="黑体" w:hAnsi="Arial" w:eastAsia="黑体"/>
          <w:color w:val="000000"/>
          <w:sz w:val="32"/>
          <w:szCs w:val="32"/>
        </w:rPr>
      </w:pPr>
      <w:r>
        <w:rPr>
          <w:rFonts w:hint="eastAsia" w:ascii="黑体" w:hAnsi="Arial" w:eastAsia="黑体"/>
          <w:color w:val="000000"/>
          <w:sz w:val="32"/>
          <w:szCs w:val="32"/>
        </w:rPr>
        <w:t>目 录</w:t>
      </w:r>
    </w:p>
    <w:p>
      <w:pPr>
        <w:pStyle w:val="29"/>
        <w:tabs>
          <w:tab w:val="right" w:leader="dot" w:pos="8787"/>
          <w:tab w:val="clear" w:pos="8820"/>
        </w:tabs>
      </w:pPr>
      <w:r>
        <w:rPr>
          <w:bCs w:val="0"/>
          <w:smallCaps/>
          <w:color w:val="000000"/>
        </w:rPr>
        <w:fldChar w:fldCharType="begin"/>
      </w:r>
      <w:r>
        <w:rPr>
          <w:bCs w:val="0"/>
          <w:smallCaps/>
          <w:color w:val="000000"/>
        </w:rPr>
        <w:instrText xml:space="preserve"> TOC \o "1-2" \h \z \u </w:instrText>
      </w:r>
      <w:r>
        <w:rPr>
          <w:bCs w:val="0"/>
          <w:smallCaps/>
          <w:color w:val="000000"/>
        </w:rPr>
        <w:fldChar w:fldCharType="separate"/>
      </w:r>
      <w:r>
        <w:rPr>
          <w:bCs w:val="0"/>
          <w:smallCaps/>
          <w:color w:val="000000"/>
        </w:rPr>
        <w:fldChar w:fldCharType="begin"/>
      </w:r>
      <w:r>
        <w:rPr>
          <w:bCs w:val="0"/>
          <w:smallCaps/>
        </w:rPr>
        <w:instrText xml:space="preserve"> HYPERLINK \l _Toc24793 </w:instrText>
      </w:r>
      <w:r>
        <w:rPr>
          <w:bCs w:val="0"/>
          <w:smallCaps/>
        </w:rPr>
        <w:fldChar w:fldCharType="separate"/>
      </w:r>
      <w:r>
        <w:rPr>
          <w:rFonts w:hint="eastAsia"/>
          <w:lang w:eastAsia="zh-CN"/>
        </w:rPr>
        <w:t>第一部分</w:t>
      </w:r>
      <w:r>
        <w:rPr>
          <w:rFonts w:hint="eastAsia"/>
          <w:lang w:val="en-US" w:eastAsia="zh-CN"/>
        </w:rPr>
        <w:t xml:space="preserve">  </w:t>
      </w:r>
      <w:r>
        <w:rPr>
          <w:rFonts w:hint="eastAsia"/>
          <w:lang w:eastAsia="zh-CN"/>
        </w:rPr>
        <w:t>竞争性谈判</w:t>
      </w:r>
      <w:r>
        <w:rPr>
          <w:rFonts w:hint="eastAsia"/>
          <w:lang w:val="en-US" w:eastAsia="zh-CN"/>
        </w:rPr>
        <w:t>公告</w:t>
      </w:r>
      <w:r>
        <w:tab/>
      </w:r>
      <w:r>
        <w:fldChar w:fldCharType="begin"/>
      </w:r>
      <w:r>
        <w:instrText xml:space="preserve"> PAGEREF _Toc24793 </w:instrText>
      </w:r>
      <w:r>
        <w:fldChar w:fldCharType="separate"/>
      </w:r>
      <w:r>
        <w:t>3</w:t>
      </w:r>
      <w:r>
        <w:fldChar w:fldCharType="end"/>
      </w:r>
      <w:r>
        <w:rPr>
          <w:bCs w:val="0"/>
          <w:smallCaps/>
          <w:color w:val="000000"/>
        </w:rPr>
        <w:fldChar w:fldCharType="end"/>
      </w:r>
    </w:p>
    <w:p>
      <w:pPr>
        <w:pStyle w:val="29"/>
        <w:tabs>
          <w:tab w:val="right" w:leader="dot" w:pos="8787"/>
          <w:tab w:val="clear" w:pos="8820"/>
        </w:tabs>
      </w:pPr>
      <w:r>
        <w:rPr>
          <w:color w:val="000000"/>
        </w:rPr>
        <w:fldChar w:fldCharType="begin"/>
      </w:r>
      <w:r>
        <w:instrText xml:space="preserve"> HYPERLINK \l _Toc7627 </w:instrText>
      </w:r>
      <w:r>
        <w:fldChar w:fldCharType="separate"/>
      </w:r>
      <w:r>
        <w:rPr>
          <w:rFonts w:hint="eastAsia"/>
          <w:lang w:eastAsia="zh-CN"/>
        </w:rPr>
        <w:t>第二部分</w:t>
      </w:r>
      <w:r>
        <w:rPr>
          <w:rFonts w:hint="eastAsia"/>
          <w:lang w:val="en-US" w:eastAsia="zh-CN"/>
        </w:rPr>
        <w:t xml:space="preserve">  竞争性谈判</w:t>
      </w:r>
      <w:r>
        <w:rPr>
          <w:rFonts w:hint="eastAsia"/>
        </w:rPr>
        <w:t>供应商须知</w:t>
      </w:r>
      <w:r>
        <w:tab/>
      </w:r>
      <w:r>
        <w:fldChar w:fldCharType="begin"/>
      </w:r>
      <w:r>
        <w:instrText xml:space="preserve"> PAGEREF _Toc7627 </w:instrText>
      </w:r>
      <w:r>
        <w:fldChar w:fldCharType="separate"/>
      </w:r>
      <w:r>
        <w:t>6</w:t>
      </w:r>
      <w:r>
        <w:fldChar w:fldCharType="end"/>
      </w:r>
      <w:r>
        <w:rPr>
          <w:color w:val="000000"/>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_Toc18920 </w:instrText>
      </w:r>
      <w:r>
        <w:rPr>
          <w:rFonts w:ascii="Arial" w:hAnsi="Arial" w:eastAsia="黑体"/>
          <w:bCs/>
          <w:smallCaps w:val="0"/>
          <w:szCs w:val="28"/>
        </w:rPr>
        <w:fldChar w:fldCharType="separate"/>
      </w:r>
      <w:r>
        <w:rPr>
          <w:rFonts w:hint="eastAsia"/>
        </w:rPr>
        <w:t>一、竞争性谈判文件</w:t>
      </w:r>
      <w:r>
        <w:tab/>
      </w:r>
      <w:r>
        <w:fldChar w:fldCharType="begin"/>
      </w:r>
      <w:r>
        <w:instrText xml:space="preserve"> PAGEREF _Toc18920 </w:instrText>
      </w:r>
      <w:r>
        <w:fldChar w:fldCharType="separate"/>
      </w:r>
      <w:r>
        <w:t>6</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_Toc29158 </w:instrText>
      </w:r>
      <w:r>
        <w:rPr>
          <w:rFonts w:ascii="Arial" w:hAnsi="Arial" w:eastAsia="黑体"/>
          <w:bCs/>
          <w:smallCaps w:val="0"/>
          <w:szCs w:val="28"/>
        </w:rPr>
        <w:fldChar w:fldCharType="separate"/>
      </w:r>
      <w:r>
        <w:rPr>
          <w:rFonts w:hint="eastAsia"/>
        </w:rPr>
        <w:t>二、谈判响应文件</w:t>
      </w:r>
      <w:r>
        <w:tab/>
      </w:r>
      <w:r>
        <w:fldChar w:fldCharType="begin"/>
      </w:r>
      <w:r>
        <w:instrText xml:space="preserve"> PAGEREF _Toc29158 </w:instrText>
      </w:r>
      <w:r>
        <w:fldChar w:fldCharType="separate"/>
      </w:r>
      <w:r>
        <w:t>6</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_Toc13659 </w:instrText>
      </w:r>
      <w:r>
        <w:rPr>
          <w:rFonts w:ascii="Arial" w:hAnsi="Arial" w:eastAsia="黑体"/>
          <w:bCs/>
          <w:smallCaps w:val="0"/>
          <w:szCs w:val="28"/>
        </w:rPr>
        <w:fldChar w:fldCharType="separate"/>
      </w:r>
      <w:r>
        <w:rPr>
          <w:rFonts w:hint="eastAsia"/>
        </w:rPr>
        <w:t>三、谈判响应文件的编制</w:t>
      </w:r>
      <w:r>
        <w:tab/>
      </w:r>
      <w:r>
        <w:fldChar w:fldCharType="begin"/>
      </w:r>
      <w:r>
        <w:instrText xml:space="preserve"> PAGEREF _Toc13659 </w:instrText>
      </w:r>
      <w:r>
        <w:fldChar w:fldCharType="separate"/>
      </w:r>
      <w:r>
        <w:t>8</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_Toc14173 </w:instrText>
      </w:r>
      <w:r>
        <w:rPr>
          <w:rFonts w:ascii="Arial" w:hAnsi="Arial" w:eastAsia="黑体"/>
          <w:bCs/>
          <w:smallCaps w:val="0"/>
          <w:szCs w:val="28"/>
        </w:rPr>
        <w:fldChar w:fldCharType="separate"/>
      </w:r>
      <w:r>
        <w:rPr>
          <w:rFonts w:hint="eastAsia"/>
        </w:rPr>
        <w:t>四、谈判响应文件的递交</w:t>
      </w:r>
      <w:r>
        <w:tab/>
      </w:r>
      <w:r>
        <w:fldChar w:fldCharType="begin"/>
      </w:r>
      <w:r>
        <w:instrText xml:space="preserve"> PAGEREF _Toc14173 </w:instrText>
      </w:r>
      <w:r>
        <w:fldChar w:fldCharType="separate"/>
      </w:r>
      <w:r>
        <w:t>9</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_Toc4134 </w:instrText>
      </w:r>
      <w:r>
        <w:rPr>
          <w:rFonts w:ascii="Arial" w:hAnsi="Arial" w:eastAsia="黑体"/>
          <w:bCs/>
          <w:smallCaps w:val="0"/>
          <w:szCs w:val="28"/>
        </w:rPr>
        <w:fldChar w:fldCharType="separate"/>
      </w:r>
      <w:r>
        <w:rPr>
          <w:rFonts w:hint="eastAsia"/>
        </w:rPr>
        <w:t>五、谈判办法和谈判事宜</w:t>
      </w:r>
      <w:r>
        <w:tab/>
      </w:r>
      <w:r>
        <w:fldChar w:fldCharType="begin"/>
      </w:r>
      <w:r>
        <w:instrText xml:space="preserve"> PAGEREF _Toc4134 </w:instrText>
      </w:r>
      <w:r>
        <w:fldChar w:fldCharType="separate"/>
      </w:r>
      <w:r>
        <w:t>10</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_Toc23948 </w:instrText>
      </w:r>
      <w:r>
        <w:rPr>
          <w:rFonts w:ascii="Arial" w:hAnsi="Arial" w:eastAsia="黑体"/>
          <w:bCs/>
          <w:smallCaps w:val="0"/>
          <w:szCs w:val="28"/>
        </w:rPr>
        <w:fldChar w:fldCharType="separate"/>
      </w:r>
      <w:r>
        <w:rPr>
          <w:rFonts w:hint="eastAsia"/>
        </w:rPr>
        <w:t>六、中选通知</w:t>
      </w:r>
      <w:r>
        <w:tab/>
      </w:r>
      <w:r>
        <w:fldChar w:fldCharType="begin"/>
      </w:r>
      <w:r>
        <w:instrText xml:space="preserve"> PAGEREF _Toc23948 </w:instrText>
      </w:r>
      <w:r>
        <w:fldChar w:fldCharType="separate"/>
      </w:r>
      <w:r>
        <w:t>14</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_Toc20869 </w:instrText>
      </w:r>
      <w:r>
        <w:rPr>
          <w:rFonts w:ascii="Arial" w:hAnsi="Arial" w:eastAsia="黑体"/>
          <w:bCs/>
          <w:smallCaps w:val="0"/>
          <w:szCs w:val="28"/>
        </w:rPr>
        <w:fldChar w:fldCharType="separate"/>
      </w:r>
      <w:r>
        <w:rPr>
          <w:rFonts w:hint="eastAsia"/>
        </w:rPr>
        <w:t>七、签订合同</w:t>
      </w:r>
      <w:r>
        <w:tab/>
      </w:r>
      <w:r>
        <w:fldChar w:fldCharType="begin"/>
      </w:r>
      <w:r>
        <w:instrText xml:space="preserve"> PAGEREF _Toc20869 </w:instrText>
      </w:r>
      <w:r>
        <w:fldChar w:fldCharType="separate"/>
      </w:r>
      <w:r>
        <w:t>14</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_Toc30414 </w:instrText>
      </w:r>
      <w:r>
        <w:rPr>
          <w:rFonts w:ascii="Arial" w:hAnsi="Arial" w:eastAsia="黑体"/>
          <w:bCs/>
          <w:smallCaps w:val="0"/>
          <w:szCs w:val="28"/>
        </w:rPr>
        <w:fldChar w:fldCharType="separate"/>
      </w:r>
      <w:r>
        <w:rPr>
          <w:rFonts w:hint="eastAsia"/>
        </w:rPr>
        <w:t>八、价款支付</w:t>
      </w:r>
      <w:r>
        <w:tab/>
      </w:r>
      <w:r>
        <w:fldChar w:fldCharType="begin"/>
      </w:r>
      <w:r>
        <w:instrText xml:space="preserve"> PAGEREF _Toc30414 </w:instrText>
      </w:r>
      <w:r>
        <w:fldChar w:fldCharType="separate"/>
      </w:r>
      <w:r>
        <w:t>15</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_Toc584 </w:instrText>
      </w:r>
      <w:r>
        <w:rPr>
          <w:rFonts w:ascii="Arial" w:hAnsi="Arial" w:eastAsia="黑体"/>
          <w:bCs/>
          <w:smallCaps w:val="0"/>
          <w:szCs w:val="28"/>
        </w:rPr>
        <w:fldChar w:fldCharType="separate"/>
      </w:r>
      <w:r>
        <w:rPr>
          <w:rFonts w:hint="eastAsia"/>
        </w:rPr>
        <w:t>九、保密</w:t>
      </w:r>
      <w:r>
        <w:tab/>
      </w:r>
      <w:r>
        <w:fldChar w:fldCharType="begin"/>
      </w:r>
      <w:r>
        <w:instrText xml:space="preserve"> PAGEREF _Toc584 </w:instrText>
      </w:r>
      <w:r>
        <w:fldChar w:fldCharType="separate"/>
      </w:r>
      <w:r>
        <w:t>15</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_Toc12551 </w:instrText>
      </w:r>
      <w:r>
        <w:rPr>
          <w:rFonts w:ascii="Arial" w:hAnsi="Arial" w:eastAsia="黑体"/>
          <w:bCs/>
          <w:smallCaps w:val="0"/>
          <w:szCs w:val="28"/>
        </w:rPr>
        <w:fldChar w:fldCharType="separate"/>
      </w:r>
      <w:r>
        <w:rPr>
          <w:rFonts w:hint="eastAsia"/>
        </w:rPr>
        <w:t>十、其它</w:t>
      </w:r>
      <w:r>
        <w:tab/>
      </w:r>
      <w:r>
        <w:fldChar w:fldCharType="begin"/>
      </w:r>
      <w:r>
        <w:instrText xml:space="preserve"> PAGEREF _Toc12551 </w:instrText>
      </w:r>
      <w:r>
        <w:fldChar w:fldCharType="separate"/>
      </w:r>
      <w:r>
        <w:t>16</w:t>
      </w:r>
      <w:r>
        <w:fldChar w:fldCharType="end"/>
      </w:r>
      <w:r>
        <w:rPr>
          <w:rFonts w:ascii="Arial" w:hAnsi="Arial" w:eastAsia="黑体"/>
          <w:bCs/>
          <w:smallCaps w:val="0"/>
          <w:color w:val="000000"/>
          <w:szCs w:val="28"/>
        </w:rPr>
        <w:fldChar w:fldCharType="end"/>
      </w:r>
    </w:p>
    <w:p>
      <w:pPr>
        <w:pStyle w:val="29"/>
        <w:tabs>
          <w:tab w:val="right" w:leader="dot" w:pos="8787"/>
          <w:tab w:val="clear" w:pos="8820"/>
        </w:tabs>
      </w:pPr>
      <w:r>
        <w:rPr>
          <w:color w:val="000000"/>
        </w:rPr>
        <w:fldChar w:fldCharType="begin"/>
      </w:r>
      <w:r>
        <w:instrText xml:space="preserve"> HYPERLINK \l _Toc10169 </w:instrText>
      </w:r>
      <w:r>
        <w:fldChar w:fldCharType="separate"/>
      </w:r>
      <w:r>
        <w:rPr>
          <w:rFonts w:hint="eastAsia"/>
          <w:lang w:eastAsia="zh-CN"/>
        </w:rPr>
        <w:t>第三部分</w:t>
      </w:r>
      <w:r>
        <w:rPr>
          <w:rFonts w:hint="eastAsia"/>
          <w:lang w:val="en-US" w:eastAsia="zh-CN"/>
        </w:rPr>
        <w:t xml:space="preserve">  </w:t>
      </w:r>
      <w:r>
        <w:rPr>
          <w:rFonts w:hint="eastAsia"/>
          <w:lang w:eastAsia="zh-CN"/>
        </w:rPr>
        <w:t>竞争性谈判</w:t>
      </w:r>
      <w:r>
        <w:rPr>
          <w:rFonts w:hint="eastAsia"/>
        </w:rPr>
        <w:t>响应文件格式</w:t>
      </w:r>
      <w:r>
        <w:tab/>
      </w:r>
      <w:r>
        <w:fldChar w:fldCharType="begin"/>
      </w:r>
      <w:r>
        <w:instrText xml:space="preserve"> PAGEREF _Toc10169 </w:instrText>
      </w:r>
      <w:r>
        <w:fldChar w:fldCharType="separate"/>
      </w:r>
      <w:r>
        <w:t>17</w:t>
      </w:r>
      <w:r>
        <w:fldChar w:fldCharType="end"/>
      </w:r>
      <w:r>
        <w:rPr>
          <w:color w:val="000000"/>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_Toc6021 </w:instrText>
      </w:r>
      <w:r>
        <w:rPr>
          <w:rFonts w:ascii="Arial" w:hAnsi="Arial" w:eastAsia="黑体"/>
          <w:bCs/>
          <w:smallCaps w:val="0"/>
          <w:szCs w:val="28"/>
        </w:rPr>
        <w:fldChar w:fldCharType="separate"/>
      </w:r>
      <w:r>
        <w:rPr>
          <w:rFonts w:hint="eastAsia"/>
        </w:rPr>
        <w:t>一、资格证明文件</w:t>
      </w:r>
      <w:r>
        <w:tab/>
      </w:r>
      <w:r>
        <w:fldChar w:fldCharType="begin"/>
      </w:r>
      <w:r>
        <w:instrText xml:space="preserve"> PAGEREF _Toc6021 </w:instrText>
      </w:r>
      <w:r>
        <w:fldChar w:fldCharType="separate"/>
      </w:r>
      <w:r>
        <w:t>17</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_Toc30314 </w:instrText>
      </w:r>
      <w:r>
        <w:rPr>
          <w:rFonts w:ascii="Arial" w:hAnsi="Arial" w:eastAsia="黑体"/>
          <w:bCs/>
          <w:smallCaps w:val="0"/>
          <w:szCs w:val="28"/>
        </w:rPr>
        <w:fldChar w:fldCharType="separate"/>
      </w:r>
      <w:r>
        <w:rPr>
          <w:rFonts w:hint="eastAsia"/>
        </w:rPr>
        <w:t>二、技术文件</w:t>
      </w:r>
      <w:r>
        <w:tab/>
      </w:r>
      <w:r>
        <w:fldChar w:fldCharType="begin"/>
      </w:r>
      <w:r>
        <w:instrText xml:space="preserve"> PAGEREF _Toc30314 </w:instrText>
      </w:r>
      <w:r>
        <w:fldChar w:fldCharType="separate"/>
      </w:r>
      <w:r>
        <w:t>23</w:t>
      </w:r>
      <w:r>
        <w:fldChar w:fldCharType="end"/>
      </w:r>
      <w:r>
        <w:rPr>
          <w:rFonts w:ascii="Arial" w:hAnsi="Arial" w:eastAsia="黑体"/>
          <w:bCs/>
          <w:smallCaps w:val="0"/>
          <w:color w:val="000000"/>
          <w:szCs w:val="28"/>
        </w:rPr>
        <w:fldChar w:fldCharType="end"/>
      </w:r>
    </w:p>
    <w:p>
      <w:pPr>
        <w:pStyle w:val="33"/>
        <w:tabs>
          <w:tab w:val="right" w:leader="dot" w:pos="8787"/>
        </w:tabs>
        <w:ind w:left="420"/>
      </w:pPr>
      <w:r>
        <w:rPr>
          <w:rFonts w:ascii="Arial" w:hAnsi="Arial" w:eastAsia="黑体"/>
          <w:bCs/>
          <w:smallCaps w:val="0"/>
          <w:color w:val="000000"/>
          <w:szCs w:val="28"/>
        </w:rPr>
        <w:fldChar w:fldCharType="begin"/>
      </w:r>
      <w:r>
        <w:rPr>
          <w:rFonts w:ascii="Arial" w:hAnsi="Arial" w:eastAsia="黑体"/>
          <w:bCs/>
          <w:smallCaps w:val="0"/>
          <w:szCs w:val="28"/>
        </w:rPr>
        <w:instrText xml:space="preserve"> HYPERLINK \l _Toc4363 </w:instrText>
      </w:r>
      <w:r>
        <w:rPr>
          <w:rFonts w:ascii="Arial" w:hAnsi="Arial" w:eastAsia="黑体"/>
          <w:bCs/>
          <w:smallCaps w:val="0"/>
          <w:szCs w:val="28"/>
        </w:rPr>
        <w:fldChar w:fldCharType="separate"/>
      </w:r>
      <w:r>
        <w:rPr>
          <w:rFonts w:hint="eastAsia"/>
        </w:rPr>
        <w:t>三、报价文件</w:t>
      </w:r>
      <w:r>
        <w:tab/>
      </w:r>
      <w:r>
        <w:fldChar w:fldCharType="begin"/>
      </w:r>
      <w:r>
        <w:instrText xml:space="preserve"> PAGEREF _Toc4363 </w:instrText>
      </w:r>
      <w:r>
        <w:fldChar w:fldCharType="separate"/>
      </w:r>
      <w:r>
        <w:t>25</w:t>
      </w:r>
      <w:r>
        <w:fldChar w:fldCharType="end"/>
      </w:r>
      <w:r>
        <w:rPr>
          <w:rFonts w:ascii="Arial" w:hAnsi="Arial" w:eastAsia="黑体"/>
          <w:bCs/>
          <w:smallCaps w:val="0"/>
          <w:color w:val="000000"/>
          <w:szCs w:val="28"/>
        </w:rPr>
        <w:fldChar w:fldCharType="end"/>
      </w:r>
    </w:p>
    <w:p>
      <w:pPr>
        <w:pStyle w:val="29"/>
        <w:tabs>
          <w:tab w:val="right" w:leader="dot" w:pos="8787"/>
          <w:tab w:val="clear" w:pos="8820"/>
        </w:tabs>
      </w:pPr>
      <w:r>
        <w:rPr>
          <w:color w:val="000000"/>
        </w:rPr>
        <w:fldChar w:fldCharType="begin"/>
      </w:r>
      <w:r>
        <w:instrText xml:space="preserve"> HYPERLINK \l _Toc5290 </w:instrText>
      </w:r>
      <w:r>
        <w:fldChar w:fldCharType="separate"/>
      </w:r>
      <w:r>
        <w:rPr>
          <w:rFonts w:hint="eastAsia"/>
          <w:lang w:eastAsia="zh-CN"/>
        </w:rPr>
        <w:t>第四部分</w:t>
      </w:r>
      <w:r>
        <w:rPr>
          <w:rFonts w:hint="eastAsia"/>
          <w:lang w:val="en-US" w:eastAsia="zh-CN"/>
        </w:rPr>
        <w:t xml:space="preserve">  </w:t>
      </w:r>
      <w:r>
        <w:rPr>
          <w:rFonts w:hint="eastAsia"/>
          <w:lang w:eastAsia="zh-CN"/>
        </w:rPr>
        <w:t>合同主要条款</w:t>
      </w:r>
      <w:r>
        <w:tab/>
      </w:r>
      <w:r>
        <w:fldChar w:fldCharType="begin"/>
      </w:r>
      <w:r>
        <w:instrText xml:space="preserve"> PAGEREF _Toc5290 </w:instrText>
      </w:r>
      <w:r>
        <w:fldChar w:fldCharType="separate"/>
      </w:r>
      <w:r>
        <w:t>27</w:t>
      </w:r>
      <w:r>
        <w:fldChar w:fldCharType="end"/>
      </w:r>
      <w:r>
        <w:rPr>
          <w:color w:val="000000"/>
        </w:rPr>
        <w:fldChar w:fldCharType="end"/>
      </w:r>
    </w:p>
    <w:p>
      <w:pPr>
        <w:spacing w:line="360" w:lineRule="auto"/>
        <w:jc w:val="left"/>
        <w:rPr>
          <w:rFonts w:hint="eastAsia"/>
          <w:color w:val="000000"/>
        </w:rPr>
      </w:pPr>
      <w:r>
        <w:rPr>
          <w:rFonts w:ascii="Arial" w:hAnsi="Arial" w:eastAsia="黑体"/>
          <w:bCs/>
          <w:color w:val="000000"/>
          <w:szCs w:val="28"/>
        </w:rPr>
        <w:fldChar w:fldCharType="end"/>
      </w:r>
      <w:bookmarkStart w:id="0" w:name="_Toc20766"/>
      <w:bookmarkStart w:id="1" w:name="_Toc427150237"/>
    </w:p>
    <w:p>
      <w:pPr>
        <w:pStyle w:val="3"/>
        <w:pageBreakBefore/>
        <w:numPr>
          <w:ilvl w:val="0"/>
          <w:numId w:val="0"/>
        </w:numPr>
        <w:jc w:val="center"/>
        <w:rPr>
          <w:rFonts w:hint="eastAsia"/>
          <w:color w:val="000000"/>
        </w:rPr>
      </w:pPr>
      <w:bookmarkStart w:id="2" w:name="_Toc24793"/>
      <w:bookmarkStart w:id="51" w:name="_GoBack"/>
      <w:r>
        <w:rPr>
          <w:rFonts w:hint="eastAsia"/>
          <w:color w:val="000000"/>
        </w:rPr>
        <w:t xml:space="preserve">第一部分  </w:t>
      </w:r>
      <w:bookmarkEnd w:id="0"/>
      <w:bookmarkEnd w:id="1"/>
      <w:r>
        <w:rPr>
          <w:rFonts w:hint="eastAsia"/>
          <w:color w:val="000000"/>
        </w:rPr>
        <w:t>竞争性谈判</w:t>
      </w:r>
      <w:bookmarkEnd w:id="2"/>
      <w:r>
        <w:rPr>
          <w:rFonts w:hint="eastAsia"/>
          <w:color w:val="000000"/>
        </w:rPr>
        <w:t>公告</w:t>
      </w:r>
    </w:p>
    <w:p>
      <w:pPr>
        <w:snapToGrid w:val="0"/>
        <w:spacing w:line="312" w:lineRule="auto"/>
        <w:ind w:firstLine="560" w:firstLineChars="200"/>
        <w:jc w:val="left"/>
        <w:rPr>
          <w:rFonts w:hint="eastAsia" w:ascii="仿宋_GB2312" w:hAnsi="仿宋" w:eastAsia="仿宋_GB2312"/>
          <w:bCs/>
          <w:sz w:val="28"/>
          <w:szCs w:val="28"/>
        </w:rPr>
      </w:pPr>
      <w:r>
        <w:rPr>
          <w:rFonts w:hint="eastAsia" w:ascii="仿宋_GB2312" w:hAnsi="仿宋" w:eastAsia="仿宋_GB2312"/>
          <w:bCs/>
          <w:sz w:val="28"/>
          <w:szCs w:val="28"/>
        </w:rPr>
        <w:t>现由于</w:t>
      </w:r>
      <w:r>
        <w:rPr>
          <w:rFonts w:hint="eastAsia" w:ascii="仿宋_GB2312" w:hAnsi="仿宋" w:eastAsia="仿宋_GB2312"/>
          <w:bCs/>
          <w:sz w:val="28"/>
          <w:szCs w:val="28"/>
          <w:lang w:val="en-US" w:eastAsia="zh-CN"/>
        </w:rPr>
        <w:t>北川</w:t>
      </w:r>
      <w:r>
        <w:rPr>
          <w:rFonts w:hint="eastAsia" w:ascii="仿宋_GB2312" w:hAnsi="仿宋" w:eastAsia="仿宋_GB2312"/>
          <w:bCs/>
          <w:sz w:val="28"/>
          <w:szCs w:val="28"/>
          <w:lang w:val="en-US" w:eastAsia="zh-CN"/>
        </w:rPr>
        <w:t>发展污水处理有限责任</w:t>
      </w:r>
      <w:r>
        <w:rPr>
          <w:rFonts w:hint="eastAsia" w:ascii="仿宋_GB2312" w:hAnsi="仿宋" w:eastAsia="仿宋_GB2312"/>
          <w:bCs/>
          <w:sz w:val="28"/>
          <w:szCs w:val="28"/>
        </w:rPr>
        <w:t>公司业务需要，拟启动</w:t>
      </w:r>
      <w:r>
        <w:rPr>
          <w:rFonts w:hint="eastAsia" w:ascii="仿宋_GB2312" w:hAnsi="仿宋" w:eastAsia="仿宋_GB2312"/>
          <w:bCs/>
          <w:sz w:val="28"/>
          <w:szCs w:val="28"/>
          <w:lang w:val="en-US" w:eastAsia="zh-CN"/>
        </w:rPr>
        <w:t>一般</w:t>
      </w:r>
      <w:r>
        <w:rPr>
          <w:rFonts w:hint="eastAsia" w:ascii="仿宋_GB2312" w:hAnsi="仿宋" w:eastAsia="仿宋_GB2312"/>
          <w:bCs/>
          <w:sz w:val="28"/>
          <w:szCs w:val="28"/>
          <w:lang w:val="en-US" w:eastAsia="zh-CN"/>
        </w:rPr>
        <w:t>固废处置采购</w:t>
      </w:r>
      <w:r>
        <w:rPr>
          <w:rFonts w:hint="eastAsia" w:ascii="仿宋_GB2312" w:hAnsi="仿宋" w:eastAsia="仿宋_GB2312"/>
          <w:bCs/>
          <w:sz w:val="28"/>
          <w:szCs w:val="28"/>
        </w:rPr>
        <w:t>项目供应商的选聘工作，</w:t>
      </w:r>
      <w:r>
        <w:rPr>
          <w:rFonts w:hint="eastAsia" w:ascii="仿宋_GB2312" w:hAnsi="仿宋" w:eastAsia="仿宋_GB2312"/>
          <w:bCs/>
          <w:color w:val="000000"/>
          <w:sz w:val="28"/>
          <w:szCs w:val="28"/>
        </w:rPr>
        <w:t>兹邀请符合条件的潜在供应商参加，</w:t>
      </w:r>
      <w:r>
        <w:rPr>
          <w:rFonts w:hint="eastAsia" w:ascii="仿宋_GB2312" w:hAnsi="仿宋" w:eastAsia="仿宋_GB2312"/>
          <w:bCs/>
          <w:sz w:val="28"/>
          <w:szCs w:val="28"/>
        </w:rPr>
        <w:t>本次采购将通过公开竞争性谈判方式选聘，现将有关事项通知如下：</w:t>
      </w:r>
    </w:p>
    <w:p>
      <w:pPr>
        <w:pStyle w:val="104"/>
        <w:spacing w:before="0" w:after="0" w:line="360" w:lineRule="auto"/>
        <w:ind w:left="1968" w:hanging="1968" w:hangingChars="700"/>
        <w:rPr>
          <w:rFonts w:hint="default" w:ascii="仿宋_GB2312" w:hAnsi="仿宋" w:eastAsia="宋体" w:cs="Times New Roman"/>
          <w:bCs/>
          <w:color w:val="000000"/>
          <w:kern w:val="2"/>
          <w:lang w:val="en-US" w:eastAsia="zh-CN"/>
        </w:rPr>
      </w:pPr>
      <w:r>
        <w:rPr>
          <w:rFonts w:hint="eastAsia"/>
          <w:b/>
          <w:color w:val="000000"/>
        </w:rPr>
        <w:t>一、项目名称：</w:t>
      </w:r>
      <w:r>
        <w:rPr>
          <w:rFonts w:hint="eastAsia"/>
          <w:b/>
          <w:color w:val="000000"/>
          <w:lang w:val="en-US" w:eastAsia="zh-CN"/>
        </w:rPr>
        <w:t>一般固废处置采购项目</w:t>
      </w:r>
    </w:p>
    <w:p>
      <w:pPr>
        <w:spacing w:line="360" w:lineRule="auto"/>
        <w:rPr>
          <w:rFonts w:hint="eastAsia"/>
          <w:color w:val="FF0000"/>
          <w:sz w:val="10"/>
          <w:szCs w:val="10"/>
        </w:rPr>
      </w:pPr>
      <w:r>
        <w:rPr>
          <w:rFonts w:hint="eastAsia" w:ascii="Arial" w:hAnsi="Arial" w:cs="Arial"/>
          <w:b/>
          <w:color w:val="000000"/>
          <w:kern w:val="0"/>
          <w:sz w:val="28"/>
          <w:szCs w:val="28"/>
        </w:rPr>
        <w:t>二、采 购 人：</w:t>
      </w:r>
      <w:r>
        <w:rPr>
          <w:rFonts w:hint="eastAsia" w:ascii="Arial" w:hAnsi="Arial" w:cs="Arial"/>
          <w:b/>
          <w:color w:val="000000"/>
          <w:kern w:val="0"/>
          <w:sz w:val="28"/>
          <w:szCs w:val="28"/>
          <w:lang w:val="en-US" w:eastAsia="zh-CN"/>
        </w:rPr>
        <w:t>北川发展污水处理有限责任公司</w:t>
      </w:r>
      <w:r>
        <w:rPr>
          <w:rFonts w:hint="eastAsia" w:ascii="仿宋_GB2312" w:hAnsi="仿宋" w:eastAsia="仿宋_GB2312"/>
          <w:bCs/>
          <w:color w:val="000000"/>
          <w:sz w:val="28"/>
          <w:szCs w:val="28"/>
        </w:rPr>
        <w:t xml:space="preserve"> </w:t>
      </w:r>
    </w:p>
    <w:p>
      <w:pPr>
        <w:pStyle w:val="104"/>
        <w:spacing w:before="0" w:after="0" w:line="360" w:lineRule="auto"/>
        <w:ind w:left="2080" w:hanging="2080" w:hangingChars="740"/>
        <w:rPr>
          <w:rFonts w:hint="eastAsia"/>
          <w:b/>
          <w:color w:val="000000"/>
        </w:rPr>
      </w:pPr>
      <w:r>
        <w:rPr>
          <w:rFonts w:hint="eastAsia"/>
          <w:b/>
          <w:color w:val="000000"/>
        </w:rPr>
        <w:t>三、采购项目内容：</w:t>
      </w:r>
    </w:p>
    <w:p>
      <w:pPr>
        <w:spacing w:line="400" w:lineRule="exact"/>
        <w:ind w:firstLine="560" w:firstLineChars="200"/>
        <w:rPr>
          <w:rFonts w:hint="eastAsia" w:ascii="仿宋_GB2312" w:hAnsi="仿宋" w:eastAsia="仿宋_GB2312" w:cs="Times New Roman"/>
          <w:bCs/>
          <w:color w:val="000000"/>
          <w:sz w:val="28"/>
          <w:szCs w:val="28"/>
          <w:lang w:eastAsia="zh-CN"/>
        </w:rPr>
      </w:pPr>
      <w:r>
        <w:rPr>
          <w:rFonts w:hint="eastAsia" w:ascii="仿宋_GB2312" w:hAnsi="仿宋" w:eastAsia="仿宋_GB2312" w:cs="Times New Roman"/>
          <w:bCs/>
          <w:color w:val="000000"/>
          <w:sz w:val="28"/>
          <w:szCs w:val="28"/>
        </w:rPr>
        <w:t>本次采购项目为</w:t>
      </w:r>
      <w:r>
        <w:rPr>
          <w:rFonts w:hint="eastAsia" w:ascii="仿宋_GB2312" w:hAnsi="仿宋" w:eastAsia="仿宋_GB2312" w:cs="Times New Roman"/>
          <w:bCs/>
          <w:color w:val="000000"/>
          <w:sz w:val="28"/>
          <w:szCs w:val="28"/>
          <w:lang w:eastAsia="zh-CN"/>
        </w:rPr>
        <w:t>北川发展污水处理有限责任公司</w:t>
      </w:r>
      <w:r>
        <w:rPr>
          <w:rFonts w:hint="eastAsia" w:ascii="仿宋_GB2312" w:hAnsi="仿宋" w:eastAsia="仿宋_GB2312" w:cs="Times New Roman"/>
          <w:bCs/>
          <w:color w:val="000000"/>
          <w:sz w:val="28"/>
          <w:szCs w:val="28"/>
        </w:rPr>
        <w:t>污泥处置服务。污泥性质：城市生活污水处理厂脱水剩余污泥；污泥含水率：≦80%；年产生量：约</w:t>
      </w:r>
      <w:r>
        <w:rPr>
          <w:rFonts w:hint="eastAsia" w:ascii="仿宋_GB2312" w:hAnsi="仿宋" w:eastAsia="仿宋_GB2312" w:cs="Times New Roman"/>
          <w:bCs/>
          <w:color w:val="000000"/>
          <w:sz w:val="28"/>
          <w:szCs w:val="28"/>
          <w:lang w:val="en-US" w:eastAsia="zh-CN"/>
        </w:rPr>
        <w:t>5500</w:t>
      </w:r>
      <w:r>
        <w:rPr>
          <w:rFonts w:hint="eastAsia" w:ascii="仿宋_GB2312" w:hAnsi="仿宋" w:eastAsia="仿宋_GB2312" w:cs="Times New Roman"/>
          <w:bCs/>
          <w:color w:val="000000"/>
          <w:sz w:val="28"/>
          <w:szCs w:val="28"/>
        </w:rPr>
        <w:t>吨；本次采购的污泥处置服务需符合“无害化、稳定化、资源化、减量化”的总体要求</w:t>
      </w:r>
      <w:r>
        <w:rPr>
          <w:rFonts w:hint="eastAsia" w:ascii="仿宋_GB2312" w:hAnsi="仿宋" w:eastAsia="仿宋_GB2312" w:cs="Times New Roman"/>
          <w:bCs/>
          <w:color w:val="000000"/>
          <w:sz w:val="28"/>
          <w:szCs w:val="28"/>
          <w:lang w:eastAsia="zh-CN"/>
        </w:rPr>
        <w:t>。</w:t>
      </w:r>
    </w:p>
    <w:p>
      <w:pPr>
        <w:pStyle w:val="29"/>
        <w:rPr>
          <w:rFonts w:hint="eastAsia"/>
        </w:rPr>
      </w:pPr>
    </w:p>
    <w:p>
      <w:pPr>
        <w:spacing w:line="360" w:lineRule="auto"/>
        <w:jc w:val="left"/>
        <w:rPr>
          <w:rFonts w:hint="eastAsia" w:ascii="Arial" w:hAnsi="Arial" w:cs="Arial"/>
          <w:b/>
          <w:color w:val="000000"/>
          <w:kern w:val="0"/>
          <w:sz w:val="28"/>
          <w:szCs w:val="28"/>
        </w:rPr>
      </w:pPr>
      <w:r>
        <w:rPr>
          <w:rFonts w:hint="eastAsia" w:ascii="Arial" w:hAnsi="Arial" w:cs="Arial"/>
          <w:b/>
          <w:color w:val="000000"/>
          <w:kern w:val="0"/>
          <w:sz w:val="28"/>
          <w:szCs w:val="28"/>
        </w:rPr>
        <w:t>四、响应供应商资格要求</w:t>
      </w:r>
    </w:p>
    <w:p>
      <w:pPr>
        <w:spacing w:line="360" w:lineRule="auto"/>
        <w:ind w:firstLine="560" w:firstLineChars="200"/>
        <w:jc w:val="left"/>
        <w:rPr>
          <w:rFonts w:hint="eastAsia" w:ascii="仿宋_GB2312" w:hAnsi="仿宋" w:eastAsia="仿宋_GB2312"/>
          <w:bCs/>
          <w:color w:val="000000"/>
          <w:sz w:val="28"/>
          <w:szCs w:val="28"/>
        </w:rPr>
      </w:pPr>
      <w:r>
        <w:rPr>
          <w:rFonts w:hint="eastAsia" w:ascii="仿宋_GB2312" w:hAnsi="仿宋" w:eastAsia="仿宋_GB2312"/>
          <w:color w:val="000000"/>
          <w:sz w:val="28"/>
          <w:szCs w:val="28"/>
        </w:rPr>
        <w:t>1、</w:t>
      </w:r>
      <w:r>
        <w:rPr>
          <w:rFonts w:hint="eastAsia" w:ascii="仿宋_GB2312" w:hAnsi="仿宋" w:eastAsia="仿宋_GB2312"/>
          <w:bCs/>
          <w:color w:val="000000"/>
          <w:sz w:val="28"/>
          <w:szCs w:val="28"/>
        </w:rPr>
        <w:t>具有在中华人民共和国注册的独立企业法人资格（法定代表人为同一个人的两个及两个以上法人，母公司、全资子公司及其控股公司，不得同时参加谈判）；</w:t>
      </w:r>
    </w:p>
    <w:p>
      <w:pPr>
        <w:spacing w:line="360" w:lineRule="auto"/>
        <w:ind w:firstLine="560" w:firstLineChars="200"/>
        <w:jc w:val="left"/>
        <w:rPr>
          <w:rFonts w:hint="eastAsia" w:ascii="仿宋_GB2312" w:hAnsi="仿宋" w:eastAsia="仿宋_GB2312" w:cs="Times New Roman"/>
          <w:bCs/>
          <w:color w:val="000000"/>
          <w:sz w:val="28"/>
          <w:szCs w:val="28"/>
        </w:rPr>
      </w:pPr>
      <w:r>
        <w:rPr>
          <w:rFonts w:hint="eastAsia" w:ascii="仿宋_GB2312" w:hAnsi="仿宋" w:eastAsia="仿宋_GB2312"/>
          <w:bCs/>
          <w:color w:val="000000"/>
          <w:sz w:val="28"/>
          <w:szCs w:val="28"/>
        </w:rPr>
        <w:t>2、</w:t>
      </w:r>
      <w:r>
        <w:rPr>
          <w:rFonts w:hint="eastAsia" w:ascii="仿宋_GB2312" w:hAnsi="仿宋" w:eastAsia="仿宋_GB2312" w:cs="Times New Roman"/>
          <w:bCs/>
          <w:color w:val="000000"/>
          <w:sz w:val="28"/>
          <w:szCs w:val="28"/>
        </w:rPr>
        <w:t>遵守国家有关法律法规，具有有效的营业执照，税务登记证，组织机构代码证（或有效的三证合一证照），营业执照经营范围符合本次采购要求。</w:t>
      </w:r>
    </w:p>
    <w:p>
      <w:pPr>
        <w:spacing w:line="360" w:lineRule="auto"/>
        <w:ind w:firstLine="560" w:firstLineChars="200"/>
        <w:jc w:val="left"/>
        <w:rPr>
          <w:rFonts w:hint="eastAsia"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lang w:val="en-US" w:eastAsia="zh-CN"/>
        </w:rPr>
        <w:t>3、</w:t>
      </w:r>
      <w:r>
        <w:rPr>
          <w:rFonts w:hint="eastAsia" w:ascii="仿宋_GB2312" w:hAnsi="仿宋" w:eastAsia="仿宋_GB2312" w:cs="Times New Roman"/>
          <w:bCs/>
          <w:color w:val="000000"/>
          <w:sz w:val="28"/>
          <w:szCs w:val="28"/>
        </w:rPr>
        <w:t>参加本项目采购活动前三年内，未受到任何采购单位的质量或履约服务投诉、不良行为处理或国家监管部门通报处理。（或已整改完毕并解除处理）</w:t>
      </w:r>
    </w:p>
    <w:p>
      <w:pPr>
        <w:spacing w:line="360" w:lineRule="auto"/>
        <w:ind w:firstLine="560" w:firstLineChars="200"/>
        <w:jc w:val="left"/>
        <w:rPr>
          <w:rFonts w:hint="eastAsia"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 xml:space="preserve">4、具有良好的商业信誉和健全的财务会计制度 </w:t>
      </w:r>
    </w:p>
    <w:p>
      <w:pPr>
        <w:spacing w:line="360" w:lineRule="auto"/>
        <w:ind w:firstLine="560" w:firstLineChars="200"/>
        <w:jc w:val="left"/>
        <w:rPr>
          <w:rFonts w:hint="eastAsia"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5、具有履行合同所必须的设备和专业技术能力；</w:t>
      </w:r>
    </w:p>
    <w:p>
      <w:pPr>
        <w:spacing w:line="360" w:lineRule="auto"/>
        <w:ind w:firstLine="560" w:firstLineChars="200"/>
        <w:jc w:val="left"/>
        <w:rPr>
          <w:rFonts w:hint="eastAsia" w:ascii="仿宋_GB2312" w:hAnsi="仿宋" w:eastAsia="仿宋_GB2312" w:cs="Times New Roman"/>
          <w:bCs/>
          <w:color w:val="000000"/>
          <w:sz w:val="28"/>
          <w:szCs w:val="28"/>
        </w:rPr>
      </w:pPr>
      <w:r>
        <w:rPr>
          <w:rFonts w:hint="eastAsia" w:ascii="仿宋_GB2312" w:hAnsi="仿宋" w:eastAsia="仿宋_GB2312" w:cs="Times New Roman"/>
          <w:bCs/>
          <w:color w:val="000000"/>
          <w:sz w:val="28"/>
          <w:szCs w:val="28"/>
        </w:rPr>
        <w:t>6、法律、行政法规规定的其他条件。</w:t>
      </w:r>
    </w:p>
    <w:p>
      <w:pPr>
        <w:spacing w:line="360" w:lineRule="auto"/>
        <w:ind w:firstLine="560"/>
        <w:rPr>
          <w:rFonts w:hint="eastAsia" w:ascii="仿宋_GB2312" w:hAnsi="仿宋" w:eastAsia="仿宋_GB2312" w:cs="Times New Roman"/>
          <w:b w:val="0"/>
          <w:color w:val="000000"/>
          <w:sz w:val="28"/>
          <w:szCs w:val="28"/>
          <w:lang w:val="en-US" w:eastAsia="zh-CN"/>
        </w:rPr>
      </w:pPr>
      <w:r>
        <w:rPr>
          <w:rFonts w:hint="eastAsia" w:ascii="仿宋_GB2312" w:hAnsi="仿宋" w:eastAsia="仿宋_GB2312" w:cs="Times New Roman"/>
          <w:b w:val="0"/>
          <w:bCs w:val="0"/>
          <w:color w:val="000000"/>
          <w:sz w:val="28"/>
          <w:szCs w:val="28"/>
          <w:lang w:val="en-US" w:eastAsia="zh-CN"/>
        </w:rPr>
        <w:t>7、应为绵阳市境内具有污泥焚烧处置的场地及相关设施的服务商，处置设施符合环境规范，污泥处置场所应具备环境影响评价批复和环保许可文件，具有日处理污泥50吨以上的处置能力。</w:t>
      </w:r>
    </w:p>
    <w:p>
      <w:pPr>
        <w:spacing w:line="360" w:lineRule="auto"/>
        <w:ind w:firstLine="560" w:firstLineChars="200"/>
        <w:jc w:val="left"/>
        <w:rPr>
          <w:rFonts w:hint="eastAsia" w:ascii="仿宋_GB2312" w:hAnsi="仿宋" w:eastAsia="仿宋_GB2312" w:cs="Times New Roman"/>
          <w:b w:val="0"/>
          <w:bCs/>
          <w:color w:val="000000"/>
          <w:sz w:val="28"/>
          <w:szCs w:val="28"/>
        </w:rPr>
      </w:pPr>
      <w:r>
        <w:rPr>
          <w:rFonts w:hint="eastAsia" w:ascii="仿宋_GB2312" w:hAnsi="仿宋" w:eastAsia="仿宋_GB2312" w:cs="Times New Roman"/>
          <w:bCs/>
          <w:color w:val="000000"/>
          <w:sz w:val="28"/>
          <w:szCs w:val="28"/>
          <w:lang w:val="en-US" w:eastAsia="zh-CN"/>
        </w:rPr>
        <w:t>8</w:t>
      </w:r>
      <w:r>
        <w:rPr>
          <w:rFonts w:hint="eastAsia" w:ascii="仿宋_GB2312" w:hAnsi="仿宋" w:eastAsia="仿宋_GB2312" w:cs="Times New Roman"/>
          <w:bCs/>
          <w:color w:val="000000"/>
          <w:sz w:val="28"/>
          <w:szCs w:val="28"/>
        </w:rPr>
        <w:t>、不允许转包或违法分包，不允许本公司员工参与竞标，一经查实将追究其法律责任，本次采购项目不接受联合体响应。</w:t>
      </w:r>
    </w:p>
    <w:p>
      <w:pPr>
        <w:spacing w:line="360" w:lineRule="auto"/>
        <w:ind w:firstLine="560" w:firstLineChars="200"/>
        <w:jc w:val="left"/>
        <w:rPr>
          <w:rFonts w:hint="eastAsia" w:ascii="仿宋_GB2312" w:hAnsi="仿宋" w:eastAsia="仿宋_GB2312"/>
          <w:bCs/>
          <w:color w:val="000000"/>
          <w:sz w:val="28"/>
          <w:szCs w:val="28"/>
        </w:rPr>
      </w:pPr>
    </w:p>
    <w:p>
      <w:pPr>
        <w:spacing w:line="360" w:lineRule="auto"/>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本次采购不接受联合体响应。</w:t>
      </w:r>
    </w:p>
    <w:p>
      <w:pPr>
        <w:spacing w:line="360" w:lineRule="auto"/>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凡不符合以上资格要求的供应商，均不得参加本次竞争性谈判，否则该响应无效。</w:t>
      </w:r>
    </w:p>
    <w:p>
      <w:pPr>
        <w:spacing w:line="360" w:lineRule="auto"/>
        <w:rPr>
          <w:rFonts w:hint="eastAsia" w:ascii="仿宋_GB2312" w:hAnsi="仿宋" w:eastAsia="仿宋_GB2312"/>
          <w:color w:val="000000"/>
          <w:sz w:val="28"/>
          <w:szCs w:val="28"/>
        </w:rPr>
      </w:pPr>
      <w:r>
        <w:rPr>
          <w:rFonts w:hint="eastAsia" w:ascii="Arial" w:hAnsi="Arial" w:cs="Arial"/>
          <w:b/>
          <w:color w:val="000000"/>
          <w:kern w:val="0"/>
          <w:sz w:val="28"/>
          <w:szCs w:val="28"/>
        </w:rPr>
        <w:t>五、其他要求</w:t>
      </w:r>
    </w:p>
    <w:p>
      <w:pPr>
        <w:widowControl/>
        <w:spacing w:line="360" w:lineRule="auto"/>
        <w:ind w:firstLine="556"/>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1、此次报价均为含税价格, 含</w:t>
      </w:r>
      <w:r>
        <w:rPr>
          <w:rFonts w:hint="eastAsia" w:ascii="仿宋_GB2312" w:hAnsi="仿宋" w:eastAsia="仿宋_GB2312"/>
          <w:color w:val="000000"/>
          <w:sz w:val="28"/>
          <w:szCs w:val="28"/>
          <w:lang w:val="en-US" w:eastAsia="zh-CN"/>
        </w:rPr>
        <w:t>处置</w:t>
      </w:r>
      <w:r>
        <w:rPr>
          <w:rFonts w:hint="eastAsia" w:ascii="仿宋_GB2312" w:hAnsi="仿宋" w:eastAsia="仿宋_GB2312"/>
          <w:color w:val="000000"/>
          <w:sz w:val="28"/>
          <w:szCs w:val="28"/>
        </w:rPr>
        <w:t>费、税费等相关所有费用。</w:t>
      </w:r>
    </w:p>
    <w:p>
      <w:pPr>
        <w:widowControl/>
        <w:spacing w:line="360" w:lineRule="auto"/>
        <w:ind w:firstLine="556"/>
        <w:jc w:val="left"/>
        <w:rPr>
          <w:rFonts w:hint="eastAsia" w:ascii="仿宋_GB2312" w:hAnsi="仿宋" w:eastAsia="仿宋_GB2312"/>
          <w:sz w:val="28"/>
          <w:szCs w:val="28"/>
        </w:rPr>
      </w:pPr>
      <w:r>
        <w:rPr>
          <w:rFonts w:hint="eastAsia" w:ascii="仿宋_GB2312" w:hAnsi="仿宋" w:eastAsia="仿宋_GB2312"/>
          <w:sz w:val="28"/>
          <w:szCs w:val="28"/>
        </w:rPr>
        <w:t>2、谈判响应文件有效期：</w:t>
      </w:r>
      <w:r>
        <w:rPr>
          <w:rFonts w:hint="eastAsia" w:ascii="仿宋_GB2312" w:hAnsi="仿宋" w:eastAsia="仿宋_GB2312"/>
          <w:sz w:val="28"/>
          <w:szCs w:val="28"/>
          <w:lang w:val="en-US" w:eastAsia="zh-CN"/>
        </w:rPr>
        <w:t>7个</w:t>
      </w:r>
      <w:r>
        <w:rPr>
          <w:rFonts w:hint="eastAsia" w:ascii="仿宋_GB2312" w:hAnsi="仿宋" w:eastAsia="仿宋_GB2312"/>
          <w:sz w:val="28"/>
          <w:szCs w:val="28"/>
        </w:rPr>
        <w:t>日历天。</w:t>
      </w:r>
    </w:p>
    <w:p>
      <w:pPr>
        <w:spacing w:line="360" w:lineRule="auto"/>
        <w:jc w:val="left"/>
        <w:rPr>
          <w:rFonts w:hint="eastAsia" w:ascii="Arial" w:hAnsi="Arial" w:cs="Arial"/>
          <w:b/>
          <w:color w:val="000000"/>
          <w:kern w:val="0"/>
          <w:sz w:val="28"/>
          <w:szCs w:val="28"/>
        </w:rPr>
      </w:pPr>
      <w:r>
        <w:rPr>
          <w:rFonts w:hint="eastAsia" w:ascii="Arial" w:hAnsi="Arial" w:cs="Arial"/>
          <w:b/>
          <w:color w:val="000000"/>
          <w:kern w:val="0"/>
          <w:sz w:val="28"/>
          <w:szCs w:val="28"/>
        </w:rPr>
        <w:t>六、竞争性谈判文件获取方式：</w:t>
      </w:r>
    </w:p>
    <w:p>
      <w:pPr>
        <w:spacing w:line="360" w:lineRule="auto"/>
        <w:ind w:firstLine="560" w:firstLineChars="200"/>
        <w:rPr>
          <w:rFonts w:hint="eastAsia" w:ascii="仿宋_GB2312" w:hAnsi="仿宋" w:eastAsia="仿宋_GB2312"/>
          <w:bCs/>
          <w:color w:val="000000"/>
          <w:sz w:val="28"/>
          <w:szCs w:val="28"/>
        </w:rPr>
      </w:pPr>
      <w:r>
        <w:rPr>
          <w:rFonts w:hint="eastAsia" w:ascii="仿宋_GB2312" w:hAnsi="仿宋" w:eastAsia="仿宋_GB2312"/>
          <w:color w:val="000000"/>
          <w:sz w:val="28"/>
          <w:szCs w:val="28"/>
        </w:rPr>
        <w:t>邮件、网站下载或纸质版获取</w:t>
      </w:r>
      <w:r>
        <w:rPr>
          <w:rFonts w:hint="eastAsia" w:ascii="仿宋_GB2312" w:hAnsi="仿宋" w:eastAsia="仿宋_GB2312"/>
          <w:bCs/>
          <w:color w:val="000000"/>
          <w:sz w:val="28"/>
          <w:szCs w:val="28"/>
        </w:rPr>
        <w:t>。</w:t>
      </w:r>
    </w:p>
    <w:p>
      <w:pPr>
        <w:spacing w:line="360" w:lineRule="auto"/>
        <w:jc w:val="left"/>
        <w:rPr>
          <w:rFonts w:hint="eastAsia" w:ascii="Arial" w:hAnsi="Arial" w:cs="Arial"/>
          <w:b/>
          <w:color w:val="000000"/>
          <w:kern w:val="0"/>
          <w:sz w:val="28"/>
          <w:szCs w:val="28"/>
        </w:rPr>
      </w:pPr>
      <w:r>
        <w:rPr>
          <w:rFonts w:hint="eastAsia" w:ascii="Arial" w:hAnsi="Arial" w:cs="Arial"/>
          <w:b/>
          <w:color w:val="000000"/>
          <w:kern w:val="0"/>
          <w:sz w:val="28"/>
          <w:szCs w:val="28"/>
        </w:rPr>
        <w:t>七、响应文件递交截止时间及地点：</w:t>
      </w:r>
    </w:p>
    <w:p>
      <w:pPr>
        <w:spacing w:line="360" w:lineRule="auto"/>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（一）响应文件递交截止时间为</w:t>
      </w:r>
      <w:r>
        <w:rPr>
          <w:rFonts w:hint="eastAsia" w:ascii="仿宋_GB2312" w:hAnsi="仿宋" w:eastAsia="仿宋_GB2312"/>
          <w:color w:val="000000"/>
          <w:sz w:val="28"/>
          <w:szCs w:val="28"/>
          <w:lang w:val="en-US" w:eastAsia="zh-CN"/>
        </w:rPr>
        <w:t>2022</w:t>
      </w:r>
      <w:r>
        <w:rPr>
          <w:rFonts w:hint="eastAsia" w:ascii="仿宋_GB2312" w:hAnsi="仿宋" w:eastAsia="仿宋_GB2312"/>
          <w:color w:val="000000"/>
          <w:sz w:val="28"/>
          <w:szCs w:val="28"/>
        </w:rPr>
        <w:t>年</w:t>
      </w:r>
      <w:r>
        <w:rPr>
          <w:rFonts w:hint="eastAsia" w:ascii="仿宋_GB2312" w:hAnsi="仿宋" w:eastAsia="仿宋_GB2312"/>
          <w:color w:val="000000"/>
          <w:sz w:val="28"/>
          <w:szCs w:val="28"/>
          <w:lang w:val="en-US" w:eastAsia="zh-CN"/>
        </w:rPr>
        <w:t>1</w:t>
      </w:r>
      <w:r>
        <w:rPr>
          <w:rFonts w:hint="eastAsia" w:ascii="仿宋_GB2312" w:hAnsi="仿宋" w:eastAsia="仿宋_GB2312"/>
          <w:color w:val="000000"/>
          <w:sz w:val="28"/>
          <w:szCs w:val="28"/>
        </w:rPr>
        <w:t>月</w:t>
      </w:r>
      <w:r>
        <w:rPr>
          <w:rFonts w:hint="eastAsia" w:ascii="仿宋_GB2312" w:hAnsi="仿宋" w:eastAsia="仿宋_GB2312"/>
          <w:color w:val="000000"/>
          <w:sz w:val="28"/>
          <w:szCs w:val="28"/>
          <w:lang w:val="en-US" w:eastAsia="zh-CN"/>
        </w:rPr>
        <w:t>24</w:t>
      </w:r>
      <w:r>
        <w:rPr>
          <w:rFonts w:hint="eastAsia" w:ascii="仿宋_GB2312" w:hAnsi="仿宋" w:eastAsia="仿宋_GB2312"/>
          <w:color w:val="000000"/>
          <w:sz w:val="28"/>
          <w:szCs w:val="28"/>
        </w:rPr>
        <w:t>日</w:t>
      </w:r>
      <w:r>
        <w:rPr>
          <w:rFonts w:hint="eastAsia" w:ascii="仿宋_GB2312" w:hAnsi="仿宋" w:eastAsia="仿宋_GB2312"/>
          <w:color w:val="000000"/>
          <w:sz w:val="28"/>
          <w:szCs w:val="28"/>
          <w:lang w:val="en-US" w:eastAsia="zh-CN"/>
        </w:rPr>
        <w:t>10</w:t>
      </w:r>
      <w:r>
        <w:rPr>
          <w:rFonts w:hint="eastAsia" w:ascii="仿宋_GB2312" w:hAnsi="仿宋" w:eastAsia="仿宋_GB2312"/>
          <w:color w:val="000000"/>
          <w:sz w:val="28"/>
          <w:szCs w:val="28"/>
        </w:rPr>
        <w:t>时，谈判开始时间为</w:t>
      </w:r>
      <w:r>
        <w:rPr>
          <w:rFonts w:hint="eastAsia" w:ascii="仿宋_GB2312" w:hAnsi="仿宋" w:eastAsia="仿宋_GB2312"/>
          <w:color w:val="000000"/>
          <w:sz w:val="28"/>
          <w:szCs w:val="28"/>
          <w:lang w:val="en-US" w:eastAsia="zh-CN"/>
        </w:rPr>
        <w:t>2022</w:t>
      </w:r>
      <w:r>
        <w:rPr>
          <w:rFonts w:hint="eastAsia" w:ascii="仿宋_GB2312" w:hAnsi="仿宋" w:eastAsia="仿宋_GB2312"/>
          <w:color w:val="000000"/>
          <w:sz w:val="28"/>
          <w:szCs w:val="28"/>
        </w:rPr>
        <w:t>年</w:t>
      </w:r>
      <w:r>
        <w:rPr>
          <w:rFonts w:hint="eastAsia" w:ascii="仿宋_GB2312" w:hAnsi="仿宋" w:eastAsia="仿宋_GB2312"/>
          <w:color w:val="000000"/>
          <w:sz w:val="28"/>
          <w:szCs w:val="28"/>
          <w:lang w:val="en-US" w:eastAsia="zh-CN"/>
        </w:rPr>
        <w:t>1</w:t>
      </w:r>
      <w:r>
        <w:rPr>
          <w:rFonts w:hint="eastAsia" w:ascii="仿宋_GB2312" w:hAnsi="仿宋" w:eastAsia="仿宋_GB2312"/>
          <w:color w:val="000000"/>
          <w:sz w:val="28"/>
          <w:szCs w:val="28"/>
        </w:rPr>
        <w:t>月</w:t>
      </w:r>
      <w:r>
        <w:rPr>
          <w:rFonts w:hint="eastAsia" w:ascii="仿宋_GB2312" w:hAnsi="仿宋" w:eastAsia="仿宋_GB2312"/>
          <w:color w:val="000000"/>
          <w:sz w:val="28"/>
          <w:szCs w:val="28"/>
          <w:lang w:val="en-US" w:eastAsia="zh-CN"/>
        </w:rPr>
        <w:t>24</w:t>
      </w:r>
      <w:r>
        <w:rPr>
          <w:rFonts w:hint="eastAsia" w:ascii="仿宋_GB2312" w:hAnsi="仿宋" w:eastAsia="仿宋_GB2312"/>
          <w:color w:val="000000"/>
          <w:sz w:val="28"/>
          <w:szCs w:val="28"/>
        </w:rPr>
        <w:t>日</w:t>
      </w:r>
      <w:r>
        <w:rPr>
          <w:rFonts w:hint="eastAsia" w:ascii="仿宋_GB2312" w:hAnsi="仿宋" w:eastAsia="仿宋_GB2312"/>
          <w:color w:val="000000"/>
          <w:sz w:val="28"/>
          <w:szCs w:val="28"/>
          <w:lang w:val="en-US" w:eastAsia="zh-CN"/>
        </w:rPr>
        <w:t>10</w:t>
      </w:r>
      <w:r>
        <w:rPr>
          <w:rFonts w:hint="eastAsia" w:ascii="仿宋_GB2312" w:hAnsi="仿宋" w:eastAsia="仿宋_GB2312"/>
          <w:color w:val="000000"/>
          <w:sz w:val="28"/>
          <w:szCs w:val="28"/>
        </w:rPr>
        <w:t>时；</w:t>
      </w:r>
    </w:p>
    <w:p>
      <w:pPr>
        <w:spacing w:line="360" w:lineRule="auto"/>
        <w:ind w:firstLine="560" w:firstLineChars="200"/>
        <w:jc w:val="left"/>
        <w:rPr>
          <w:rFonts w:hint="eastAsia" w:ascii="仿宋_GB2312" w:hAnsi="仿宋" w:eastAsia="仿宋_GB2312"/>
          <w:color w:val="000000"/>
          <w:sz w:val="28"/>
          <w:szCs w:val="28"/>
        </w:rPr>
      </w:pPr>
      <w:r>
        <w:rPr>
          <w:rFonts w:hint="eastAsia" w:ascii="仿宋_GB2312" w:hAnsi="仿宋" w:eastAsia="仿宋_GB2312"/>
          <w:bCs/>
          <w:color w:val="000000"/>
          <w:sz w:val="28"/>
          <w:szCs w:val="28"/>
        </w:rPr>
        <w:t>（二）响应文件递交及竞争性谈判地点：</w:t>
      </w:r>
    </w:p>
    <w:p>
      <w:pPr>
        <w:spacing w:line="360" w:lineRule="auto"/>
        <w:ind w:firstLine="560"/>
        <w:jc w:val="left"/>
        <w:rPr>
          <w:rFonts w:hint="eastAsia" w:ascii="仿宋_GB2312" w:hAnsi="仿宋" w:eastAsia="仿宋_GB2312"/>
          <w:b/>
          <w:sz w:val="28"/>
          <w:szCs w:val="28"/>
        </w:rPr>
      </w:pPr>
      <w:r>
        <w:rPr>
          <w:rFonts w:hint="eastAsia" w:ascii="仿宋_GB2312" w:hAnsi="仿宋" w:eastAsia="仿宋_GB2312" w:cs="Times New Roman"/>
          <w:bCs/>
          <w:color w:val="000000"/>
          <w:sz w:val="28"/>
          <w:szCs w:val="28"/>
        </w:rPr>
        <w:t>所有响应文件必须在截止时间之前递交到北川发展供水有限责任公司会议室（北川新县城滨河北路142号新北川水厂</w:t>
      </w:r>
      <w:r>
        <w:rPr>
          <w:rFonts w:hint="eastAsia" w:ascii="仿宋_GB2312" w:hAnsi="仿宋" w:eastAsia="仿宋_GB2312" w:cs="Times New Roman"/>
          <w:bCs/>
          <w:color w:val="000000"/>
          <w:sz w:val="28"/>
          <w:szCs w:val="28"/>
          <w:lang w:eastAsia="zh-CN"/>
        </w:rPr>
        <w:t>）</w:t>
      </w:r>
      <w:r>
        <w:rPr>
          <w:rFonts w:hint="eastAsia" w:ascii="仿宋_GB2312" w:hAnsi="仿宋" w:eastAsia="仿宋_GB2312" w:cs="Times New Roman"/>
          <w:bCs/>
          <w:color w:val="000000"/>
          <w:sz w:val="28"/>
          <w:szCs w:val="28"/>
        </w:rPr>
        <w:t>，逾期不予接收。</w:t>
      </w:r>
      <w:r>
        <w:rPr>
          <w:rFonts w:hint="eastAsia" w:ascii="仿宋_GB2312" w:hAnsi="仿宋" w:eastAsia="仿宋_GB2312"/>
          <w:b/>
          <w:sz w:val="28"/>
          <w:szCs w:val="28"/>
        </w:rPr>
        <w:t>【允许以快递方式送达，但响应供应商法定代表人或授权代表必须于竞争性谈判时到达现场参加二次报价和竞争性谈判，否则视为弃权】</w:t>
      </w:r>
    </w:p>
    <w:p>
      <w:pPr>
        <w:spacing w:line="360" w:lineRule="auto"/>
        <w:jc w:val="left"/>
        <w:rPr>
          <w:rFonts w:hint="eastAsia" w:ascii="Arial" w:hAnsi="Arial" w:cs="Arial"/>
          <w:b/>
          <w:color w:val="000000"/>
          <w:kern w:val="0"/>
          <w:sz w:val="28"/>
          <w:szCs w:val="28"/>
        </w:rPr>
      </w:pPr>
      <w:r>
        <w:rPr>
          <w:rFonts w:hint="eastAsia" w:ascii="Arial" w:hAnsi="Arial" w:cs="Arial"/>
          <w:b/>
          <w:color w:val="000000"/>
          <w:kern w:val="0"/>
          <w:sz w:val="28"/>
          <w:szCs w:val="28"/>
          <w:lang w:val="en-US" w:eastAsia="zh-CN"/>
        </w:rPr>
        <w:t>八</w:t>
      </w:r>
      <w:r>
        <w:rPr>
          <w:rFonts w:hint="eastAsia" w:ascii="Arial" w:hAnsi="Arial" w:cs="Arial"/>
          <w:b/>
          <w:color w:val="000000"/>
          <w:kern w:val="0"/>
          <w:sz w:val="28"/>
          <w:szCs w:val="28"/>
        </w:rPr>
        <w:t>、联系方式</w:t>
      </w:r>
    </w:p>
    <w:p>
      <w:pPr>
        <w:spacing w:line="360" w:lineRule="auto"/>
        <w:ind w:firstLine="560" w:firstLineChars="200"/>
        <w:jc w:val="left"/>
        <w:rPr>
          <w:rFonts w:hint="eastAsia" w:ascii="仿宋_GB2312" w:hAnsi="Arial" w:eastAsia="仿宋_GB2312" w:cs="Arial"/>
          <w:color w:val="000000"/>
          <w:kern w:val="0"/>
          <w:sz w:val="28"/>
          <w:szCs w:val="28"/>
        </w:rPr>
      </w:pPr>
      <w:bookmarkStart w:id="3" w:name="_Toc15212"/>
      <w:bookmarkStart w:id="4" w:name="_Toc427150238"/>
      <w:r>
        <w:rPr>
          <w:rFonts w:hint="eastAsia" w:ascii="仿宋_GB2312" w:hAnsi="Arial" w:eastAsia="仿宋_GB2312" w:cs="Arial"/>
          <w:color w:val="000000"/>
          <w:kern w:val="0"/>
          <w:sz w:val="28"/>
          <w:szCs w:val="28"/>
        </w:rPr>
        <w:t>采购人：</w:t>
      </w:r>
      <w:r>
        <w:rPr>
          <w:rFonts w:hint="eastAsia" w:ascii="仿宋_GB2312" w:hAnsi="Arial" w:eastAsia="仿宋_GB2312" w:cs="Arial"/>
          <w:color w:val="000000"/>
          <w:kern w:val="0"/>
          <w:sz w:val="28"/>
          <w:szCs w:val="28"/>
        </w:rPr>
        <w:t>北川发展</w:t>
      </w:r>
      <w:r>
        <w:rPr>
          <w:rFonts w:hint="eastAsia" w:ascii="仿宋_GB2312" w:hAnsi="Arial" w:eastAsia="仿宋_GB2312" w:cs="Arial"/>
          <w:color w:val="000000"/>
          <w:kern w:val="0"/>
          <w:sz w:val="28"/>
          <w:szCs w:val="28"/>
          <w:lang w:eastAsia="zh-CN"/>
        </w:rPr>
        <w:t>污水处理</w:t>
      </w:r>
      <w:r>
        <w:rPr>
          <w:rFonts w:hint="eastAsia" w:ascii="仿宋_GB2312" w:hAnsi="Arial" w:eastAsia="仿宋_GB2312" w:cs="Arial"/>
          <w:color w:val="000000"/>
          <w:kern w:val="0"/>
          <w:sz w:val="28"/>
          <w:szCs w:val="28"/>
        </w:rPr>
        <w:t>有限责任公司</w:t>
      </w:r>
      <w:r>
        <w:rPr>
          <w:rFonts w:hint="eastAsia" w:ascii="仿宋_GB2312" w:hAnsi="Arial" w:eastAsia="仿宋_GB2312" w:cs="Arial"/>
          <w:color w:val="000000"/>
          <w:kern w:val="0"/>
          <w:sz w:val="28"/>
          <w:szCs w:val="28"/>
        </w:rPr>
        <w:t xml:space="preserve"> </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联系人：</w:t>
      </w:r>
      <w:r>
        <w:rPr>
          <w:rFonts w:hint="eastAsia" w:ascii="仿宋_GB2312" w:hAnsi="仿宋" w:eastAsia="仿宋_GB2312"/>
          <w:color w:val="000000"/>
          <w:sz w:val="28"/>
          <w:szCs w:val="28"/>
          <w:lang w:val="en-US" w:eastAsia="zh-CN"/>
        </w:rPr>
        <w:t>颜子杰</w:t>
      </w:r>
      <w:r>
        <w:rPr>
          <w:rFonts w:hint="eastAsia" w:ascii="仿宋_GB2312" w:hAnsi="仿宋" w:eastAsia="仿宋_GB2312"/>
          <w:color w:val="000000"/>
          <w:sz w:val="28"/>
          <w:szCs w:val="28"/>
        </w:rPr>
        <w:t xml:space="preserve"> </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电  话：</w:t>
      </w:r>
      <w:r>
        <w:rPr>
          <w:rFonts w:hint="eastAsia" w:ascii="仿宋_GB2312" w:hAnsi="仿宋" w:eastAsia="仿宋_GB2312"/>
          <w:color w:val="000000"/>
          <w:sz w:val="28"/>
          <w:szCs w:val="28"/>
          <w:lang w:val="en-US" w:eastAsia="zh-CN"/>
        </w:rPr>
        <w:t>17381175989</w:t>
      </w:r>
      <w:r>
        <w:rPr>
          <w:rFonts w:hint="eastAsia" w:ascii="仿宋_GB2312" w:hAnsi="仿宋" w:eastAsia="仿宋_GB2312"/>
          <w:color w:val="000000"/>
          <w:sz w:val="28"/>
          <w:szCs w:val="28"/>
        </w:rPr>
        <w:t xml:space="preserve">   </w:t>
      </w:r>
    </w:p>
    <w:p>
      <w:pPr>
        <w:spacing w:line="360" w:lineRule="auto"/>
        <w:ind w:firstLine="560" w:firstLineChars="200"/>
        <w:rPr>
          <w:rFonts w:hint="eastAsia" w:eastAsia="仿宋_GB2312"/>
          <w:color w:val="000000"/>
          <w:sz w:val="28"/>
          <w:szCs w:val="28"/>
        </w:rPr>
      </w:pPr>
      <w:r>
        <w:rPr>
          <w:rFonts w:hint="eastAsia" w:ascii="仿宋_GB2312" w:hAnsi="仿宋" w:eastAsia="仿宋_GB2312"/>
          <w:color w:val="000000"/>
          <w:sz w:val="28"/>
          <w:szCs w:val="28"/>
        </w:rPr>
        <w:t>邮  箱：</w:t>
      </w:r>
      <w:r>
        <w:rPr>
          <w:rFonts w:hint="eastAsia" w:ascii="仿宋_GB2312" w:hAnsi="仿宋" w:eastAsia="仿宋_GB2312"/>
          <w:color w:val="000000"/>
          <w:sz w:val="28"/>
          <w:szCs w:val="28"/>
          <w:lang w:val="en-US" w:eastAsia="zh-CN"/>
        </w:rPr>
        <w:t>23171331@qq.com</w:t>
      </w:r>
      <w:r>
        <w:rPr>
          <w:rFonts w:hint="eastAsia" w:eastAsia="仿宋_GB2312"/>
          <w:color w:val="000000"/>
          <w:sz w:val="28"/>
          <w:szCs w:val="28"/>
        </w:rPr>
        <w:t xml:space="preserve"> </w:t>
      </w: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r>
        <w:rPr>
          <w:rFonts w:hint="eastAsia" w:eastAsia="仿宋_GB2312"/>
          <w:color w:val="000000"/>
          <w:sz w:val="28"/>
          <w:szCs w:val="28"/>
        </w:rPr>
        <w:t xml:space="preserve">                           </w:t>
      </w:r>
      <w:r>
        <w:rPr>
          <w:rFonts w:hint="eastAsia" w:eastAsia="仿宋_GB2312"/>
          <w:color w:val="000000"/>
          <w:sz w:val="28"/>
          <w:szCs w:val="28"/>
          <w:lang w:val="en-US" w:eastAsia="zh-CN"/>
        </w:rPr>
        <w:t>北川发展污水处理有限责任</w:t>
      </w:r>
      <w:r>
        <w:rPr>
          <w:rFonts w:hint="eastAsia" w:eastAsia="仿宋_GB2312"/>
          <w:color w:val="000000"/>
          <w:sz w:val="28"/>
          <w:szCs w:val="28"/>
        </w:rPr>
        <w:t>公司</w:t>
      </w:r>
    </w:p>
    <w:p>
      <w:pPr>
        <w:spacing w:line="360" w:lineRule="auto"/>
        <w:ind w:firstLine="560" w:firstLineChars="200"/>
        <w:rPr>
          <w:rFonts w:hint="eastAsia" w:eastAsia="仿宋_GB2312"/>
          <w:color w:val="000000"/>
          <w:sz w:val="28"/>
          <w:szCs w:val="28"/>
        </w:rPr>
      </w:pPr>
      <w:r>
        <w:rPr>
          <w:rFonts w:hint="eastAsia" w:eastAsia="仿宋_GB2312"/>
          <w:color w:val="000000"/>
          <w:sz w:val="28"/>
          <w:szCs w:val="28"/>
        </w:rPr>
        <w:t xml:space="preserve">                                   </w:t>
      </w:r>
      <w:r>
        <w:rPr>
          <w:rFonts w:hint="eastAsia" w:eastAsia="仿宋_GB2312"/>
          <w:color w:val="000000"/>
          <w:sz w:val="28"/>
          <w:szCs w:val="28"/>
          <w:lang w:val="en-US" w:eastAsia="zh-CN"/>
        </w:rPr>
        <w:t>2021</w:t>
      </w:r>
      <w:r>
        <w:rPr>
          <w:rFonts w:hint="eastAsia" w:eastAsia="仿宋_GB2312"/>
          <w:color w:val="000000"/>
          <w:sz w:val="28"/>
          <w:szCs w:val="28"/>
        </w:rPr>
        <w:t>年</w:t>
      </w:r>
      <w:r>
        <w:rPr>
          <w:rFonts w:hint="eastAsia" w:eastAsia="仿宋_GB2312"/>
          <w:color w:val="000000"/>
          <w:sz w:val="28"/>
          <w:szCs w:val="28"/>
          <w:lang w:val="en-US" w:eastAsia="zh-CN"/>
        </w:rPr>
        <w:t>1</w:t>
      </w:r>
      <w:r>
        <w:rPr>
          <w:rFonts w:hint="eastAsia" w:eastAsia="仿宋_GB2312"/>
          <w:color w:val="000000"/>
          <w:sz w:val="28"/>
          <w:szCs w:val="28"/>
        </w:rPr>
        <w:t>月</w:t>
      </w:r>
      <w:r>
        <w:rPr>
          <w:rFonts w:hint="eastAsia" w:eastAsia="仿宋_GB2312"/>
          <w:color w:val="000000"/>
          <w:sz w:val="28"/>
          <w:szCs w:val="28"/>
          <w:lang w:val="en-US" w:eastAsia="zh-CN"/>
        </w:rPr>
        <w:t>18</w:t>
      </w:r>
      <w:r>
        <w:rPr>
          <w:rFonts w:hint="eastAsia" w:eastAsia="仿宋_GB2312"/>
          <w:color w:val="000000"/>
          <w:sz w:val="28"/>
          <w:szCs w:val="28"/>
        </w:rPr>
        <w:t>日</w:t>
      </w:r>
    </w:p>
    <w:bookmarkEnd w:id="51"/>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pStyle w:val="3"/>
        <w:pageBreakBefore/>
        <w:numPr>
          <w:ilvl w:val="0"/>
          <w:numId w:val="0"/>
        </w:numPr>
        <w:jc w:val="center"/>
        <w:rPr>
          <w:rFonts w:hint="eastAsia"/>
          <w:color w:val="000000"/>
        </w:rPr>
      </w:pPr>
      <w:bookmarkStart w:id="5" w:name="_Toc7627"/>
      <w:bookmarkStart w:id="6" w:name="_Toc15116"/>
      <w:r>
        <w:rPr>
          <w:rFonts w:hint="eastAsia"/>
          <w:color w:val="000000"/>
        </w:rPr>
        <w:t>第二部分  竞争性谈判供应商须知</w:t>
      </w:r>
      <w:bookmarkEnd w:id="5"/>
      <w:bookmarkEnd w:id="6"/>
    </w:p>
    <w:p>
      <w:pPr>
        <w:pStyle w:val="4"/>
        <w:rPr>
          <w:rFonts w:hint="eastAsia"/>
          <w:color w:val="000000"/>
        </w:rPr>
      </w:pPr>
      <w:bookmarkStart w:id="7" w:name="_Toc18920"/>
      <w:r>
        <w:rPr>
          <w:rFonts w:hint="eastAsia"/>
          <w:color w:val="000000"/>
        </w:rPr>
        <w:t>一、竞争性谈判文件</w:t>
      </w:r>
      <w:bookmarkEnd w:id="7"/>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（一）竞争性谈判文件的澄清</w:t>
      </w:r>
    </w:p>
    <w:p>
      <w:pPr>
        <w:spacing w:line="360" w:lineRule="auto"/>
        <w:ind w:firstLine="560" w:firstLineChars="200"/>
        <w:rPr>
          <w:rFonts w:hint="eastAsia" w:ascii="仿宋_GB2312" w:hAnsi="仿宋" w:eastAsia="仿宋_GB2312"/>
          <w:sz w:val="28"/>
          <w:szCs w:val="28"/>
        </w:rPr>
      </w:pPr>
      <w:r>
        <w:rPr>
          <w:rFonts w:hint="eastAsia" w:ascii="仿宋_GB2312" w:eastAsia="仿宋_GB2312"/>
          <w:sz w:val="28"/>
          <w:szCs w:val="28"/>
        </w:rPr>
        <w:t>供应商对竞争性谈判文件如有疑点或未尽事宜要求澄清，或认为有必要进行说明或交流，以电子邮件方式通知采购人，但通知发出时间不得晚于</w:t>
      </w:r>
      <w:r>
        <w:rPr>
          <w:rFonts w:hint="eastAsia" w:ascii="仿宋_GB2312" w:hAnsi="仿宋" w:eastAsia="仿宋_GB2312"/>
          <w:sz w:val="28"/>
          <w:szCs w:val="28"/>
        </w:rPr>
        <w:t>20</w:t>
      </w:r>
      <w:r>
        <w:rPr>
          <w:rFonts w:hint="eastAsia" w:ascii="仿宋_GB2312" w:hAnsi="仿宋" w:eastAsia="仿宋_GB2312"/>
          <w:sz w:val="28"/>
          <w:szCs w:val="28"/>
          <w:lang w:val="en-US" w:eastAsia="zh-CN"/>
        </w:rPr>
        <w:t>21</w:t>
      </w:r>
      <w:r>
        <w:rPr>
          <w:rFonts w:hint="eastAsia" w:ascii="仿宋_GB2312" w:hAnsi="仿宋" w:eastAsia="仿宋_GB2312"/>
          <w:sz w:val="28"/>
          <w:szCs w:val="28"/>
        </w:rPr>
        <w:t>年</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20</w:t>
      </w:r>
      <w:r>
        <w:rPr>
          <w:rFonts w:hint="eastAsia" w:ascii="仿宋_GB2312" w:hAnsi="仿宋" w:eastAsia="仿宋_GB2312"/>
          <w:sz w:val="28"/>
          <w:szCs w:val="28"/>
        </w:rPr>
        <w:t>日</w:t>
      </w:r>
      <w:r>
        <w:rPr>
          <w:rFonts w:hint="eastAsia" w:ascii="仿宋_GB2312" w:hAnsi="仿宋" w:eastAsia="仿宋_GB2312"/>
          <w:sz w:val="28"/>
          <w:szCs w:val="28"/>
          <w:lang w:val="en-US" w:eastAsia="zh-CN"/>
        </w:rPr>
        <w:t>10</w:t>
      </w:r>
      <w:r>
        <w:rPr>
          <w:rFonts w:hint="eastAsia" w:ascii="仿宋_GB2312" w:hAnsi="仿宋" w:eastAsia="仿宋_GB2312"/>
          <w:sz w:val="28"/>
          <w:szCs w:val="28"/>
        </w:rPr>
        <w:t>:00。采购人对所质疑事项在20</w:t>
      </w:r>
      <w:r>
        <w:rPr>
          <w:rFonts w:hint="eastAsia" w:ascii="仿宋_GB2312" w:hAnsi="仿宋" w:eastAsia="仿宋_GB2312"/>
          <w:sz w:val="28"/>
          <w:szCs w:val="28"/>
          <w:lang w:val="en-US" w:eastAsia="zh-CN"/>
        </w:rPr>
        <w:t>22</w:t>
      </w:r>
      <w:r>
        <w:rPr>
          <w:rFonts w:hint="eastAsia" w:ascii="仿宋_GB2312" w:hAnsi="仿宋" w:eastAsia="仿宋_GB2312"/>
          <w:sz w:val="28"/>
          <w:szCs w:val="28"/>
        </w:rPr>
        <w:t>年</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20</w:t>
      </w:r>
      <w:r>
        <w:rPr>
          <w:rFonts w:hint="eastAsia" w:ascii="仿宋_GB2312" w:hAnsi="仿宋" w:eastAsia="仿宋_GB2312"/>
          <w:sz w:val="28"/>
          <w:szCs w:val="28"/>
        </w:rPr>
        <w:t>日</w:t>
      </w:r>
      <w:r>
        <w:rPr>
          <w:rFonts w:hint="eastAsia" w:ascii="仿宋_GB2312" w:hAnsi="仿宋" w:eastAsia="仿宋_GB2312"/>
          <w:sz w:val="28"/>
          <w:szCs w:val="28"/>
          <w:lang w:val="en-US" w:eastAsia="zh-CN"/>
        </w:rPr>
        <w:t>17</w:t>
      </w:r>
      <w:r>
        <w:rPr>
          <w:rFonts w:hint="eastAsia" w:ascii="仿宋_GB2312" w:hAnsi="仿宋" w:eastAsia="仿宋_GB2312"/>
          <w:sz w:val="28"/>
          <w:szCs w:val="28"/>
        </w:rPr>
        <w:t>:00前统一进行电子邮件答复。</w:t>
      </w:r>
      <w:r>
        <w:rPr>
          <w:rFonts w:hint="eastAsia" w:ascii="仿宋_GB2312" w:eastAsia="仿宋_GB2312"/>
          <w:sz w:val="28"/>
          <w:szCs w:val="28"/>
        </w:rPr>
        <w:t>如果答疑期内未收到有关疑问，视为供应商完全同意竞争性谈判文件所有条款内容，无异议。</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sz w:val="28"/>
          <w:szCs w:val="28"/>
        </w:rPr>
        <w:t>采购人对</w:t>
      </w:r>
      <w:r>
        <w:rPr>
          <w:rFonts w:hint="eastAsia" w:ascii="仿宋_GB2312" w:hAnsi="仿宋" w:eastAsia="仿宋_GB2312"/>
          <w:color w:val="000000"/>
          <w:sz w:val="28"/>
          <w:szCs w:val="28"/>
        </w:rPr>
        <w:t>竞争性谈判文件所作的一切澄清、修改及补充，采用电子邮件发布，是竞争性谈判文件不可分割的部分。当竞争性谈判文件、竞争性谈判文件澄清、修改及补充文件相互矛盾时，以最后发出的澄清、修改及补充文件为准。</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（二）竞争性谈判文件的修改</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在谈判响应文件递交截止时间前的任何时候，</w:t>
      </w:r>
      <w:r>
        <w:rPr>
          <w:rFonts w:hint="eastAsia" w:ascii="仿宋_GB2312" w:hAnsi="仿宋" w:eastAsia="仿宋_GB2312"/>
          <w:sz w:val="28"/>
          <w:szCs w:val="28"/>
        </w:rPr>
        <w:t>采购人</w:t>
      </w:r>
      <w:r>
        <w:rPr>
          <w:rFonts w:hint="eastAsia" w:ascii="仿宋_GB2312" w:hAnsi="仿宋" w:eastAsia="仿宋_GB2312"/>
          <w:color w:val="000000"/>
          <w:sz w:val="28"/>
          <w:szCs w:val="28"/>
        </w:rPr>
        <w:t>有权修改竞争性谈判文件，但必须以书面形式通知所有供应商，并作为竞争性谈判文件的补充部分，对所有供应商具有约束力，供应商在收到上述通知后，应立即向采购人书面回复确认。</w:t>
      </w:r>
      <w:r>
        <w:rPr>
          <w:rFonts w:hint="eastAsia" w:ascii="宋体" w:hAnsi="宋体" w:cs="宋体"/>
          <w:color w:val="000000"/>
          <w:sz w:val="28"/>
          <w:szCs w:val="28"/>
        </w:rPr>
        <w:t>      </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为使供应商有充分时间对竞争性谈判文件修改部分进行研究并修改谈判响应文件，采购人可酌情推迟谈判响应文件递交截止时间和谈判时间，并将此变更书面通知所有供应商，供应商在收到上述通知后，应立即向采购人书面回复确认。</w:t>
      </w:r>
    </w:p>
    <w:p>
      <w:pPr>
        <w:spacing w:line="360" w:lineRule="auto"/>
        <w:rPr>
          <w:rFonts w:hint="eastAsia" w:ascii="仿宋_GB2312" w:hAnsi="仿宋" w:eastAsia="仿宋_GB2312"/>
          <w:color w:val="000000"/>
          <w:sz w:val="28"/>
          <w:szCs w:val="28"/>
        </w:rPr>
      </w:pPr>
    </w:p>
    <w:p>
      <w:pPr>
        <w:pStyle w:val="4"/>
        <w:spacing w:before="0" w:after="0" w:line="360" w:lineRule="auto"/>
        <w:rPr>
          <w:rFonts w:hint="eastAsia"/>
          <w:color w:val="000000"/>
        </w:rPr>
      </w:pPr>
      <w:bookmarkStart w:id="8" w:name="_Toc29837"/>
      <w:bookmarkStart w:id="9" w:name="_Toc29158"/>
      <w:bookmarkStart w:id="10" w:name="_Toc13001"/>
      <w:r>
        <w:rPr>
          <w:rFonts w:hint="eastAsia"/>
          <w:color w:val="000000"/>
        </w:rPr>
        <w:t>二、谈判响应文件</w:t>
      </w:r>
      <w:bookmarkEnd w:id="8"/>
      <w:bookmarkEnd w:id="9"/>
      <w:bookmarkEnd w:id="10"/>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响应供应商应认真阅读竞争性谈判文件中所有事项格式、条款和技术规范等。供应商没有按照竞争性谈判文件要求提交全部资料，或者没有对竞争性谈判文件各个方面作出实质性响应，是供应商的风险，并可能导致其响应被拒绝。</w:t>
      </w:r>
    </w:p>
    <w:p>
      <w:pPr>
        <w:spacing w:line="360" w:lineRule="auto"/>
        <w:ind w:firstLine="560" w:firstLineChars="200"/>
        <w:rPr>
          <w:rFonts w:hint="eastAsia" w:eastAsia="仿宋_GB2312"/>
          <w:sz w:val="28"/>
          <w:szCs w:val="28"/>
        </w:rPr>
      </w:pPr>
      <w:r>
        <w:rPr>
          <w:rFonts w:hint="eastAsia" w:ascii="仿宋_GB2312" w:eastAsia="仿宋_GB2312"/>
          <w:sz w:val="28"/>
          <w:szCs w:val="28"/>
        </w:rPr>
        <w:t>供应商应保证所提供文件资料的真实性，所有文件资料必须是针对本次谈判的。如发现供应商提供了虚假文件资料，其响应将被拒绝。</w:t>
      </w:r>
      <w:r>
        <w:rPr>
          <w:rFonts w:hint="eastAsia" w:eastAsia="仿宋_GB2312"/>
          <w:sz w:val="28"/>
          <w:szCs w:val="28"/>
        </w:rPr>
        <w:t> </w:t>
      </w:r>
    </w:p>
    <w:p>
      <w:pPr>
        <w:spacing w:line="360" w:lineRule="auto"/>
        <w:ind w:firstLine="560" w:firstLineChars="200"/>
        <w:rPr>
          <w:rFonts w:hint="eastAsia" w:ascii="仿宋_GB2312" w:hAnsi="仿宋" w:eastAsia="仿宋_GB2312"/>
          <w:b/>
          <w:bCs/>
          <w:color w:val="000000"/>
          <w:sz w:val="28"/>
          <w:szCs w:val="28"/>
        </w:rPr>
      </w:pPr>
      <w:r>
        <w:rPr>
          <w:rFonts w:hint="eastAsia" w:ascii="仿宋_GB2312" w:eastAsia="仿宋_GB2312"/>
          <w:sz w:val="28"/>
          <w:szCs w:val="28"/>
        </w:rPr>
        <w:t>谈判响应文件包括：</w:t>
      </w:r>
      <w:r>
        <w:rPr>
          <w:rFonts w:hint="eastAsia" w:ascii="仿宋_GB2312" w:eastAsia="仿宋_GB2312"/>
          <w:sz w:val="28"/>
          <w:szCs w:val="28"/>
          <w:highlight w:val="none"/>
        </w:rPr>
        <w:t>1.资格证明文件；2.技术文件；3.报价文件</w:t>
      </w:r>
      <w:r>
        <w:rPr>
          <w:rFonts w:hint="eastAsia" w:ascii="仿宋_GB2312" w:eastAsia="仿宋_GB2312"/>
          <w:sz w:val="28"/>
          <w:szCs w:val="28"/>
        </w:rPr>
        <w:t>（在递交谈判响应文件时需按以下顺序装订，并在谈判响应文件递交截止前送达竞争性谈判文件中指定地点）。</w:t>
      </w:r>
    </w:p>
    <w:p>
      <w:pPr>
        <w:spacing w:line="360" w:lineRule="auto"/>
        <w:ind w:firstLine="562" w:firstLineChars="200"/>
        <w:rPr>
          <w:rFonts w:hint="eastAsia" w:ascii="仿宋_GB2312" w:hAnsi="仿宋" w:eastAsia="仿宋_GB2312"/>
          <w:b/>
          <w:color w:val="000000"/>
          <w:sz w:val="28"/>
          <w:szCs w:val="28"/>
        </w:rPr>
      </w:pPr>
      <w:r>
        <w:rPr>
          <w:rFonts w:hint="eastAsia" w:ascii="仿宋_GB2312" w:hAnsi="仿宋" w:eastAsia="仿宋_GB2312"/>
          <w:b/>
          <w:color w:val="000000"/>
          <w:sz w:val="28"/>
          <w:szCs w:val="28"/>
        </w:rPr>
        <w:t>谈判响应文件一式</w:t>
      </w:r>
      <w:r>
        <w:rPr>
          <w:rFonts w:hint="eastAsia" w:ascii="仿宋_GB2312" w:hAnsi="仿宋" w:eastAsia="仿宋_GB2312"/>
          <w:b/>
          <w:color w:val="000000"/>
          <w:sz w:val="28"/>
          <w:szCs w:val="28"/>
          <w:lang w:val="en-US" w:eastAsia="zh-CN"/>
        </w:rPr>
        <w:t>伍</w:t>
      </w:r>
      <w:r>
        <w:rPr>
          <w:rFonts w:hint="eastAsia" w:ascii="仿宋_GB2312" w:hAnsi="仿宋" w:eastAsia="仿宋_GB2312"/>
          <w:b/>
          <w:color w:val="000000"/>
          <w:sz w:val="28"/>
          <w:szCs w:val="28"/>
        </w:rPr>
        <w:t>份，正本一份副本</w:t>
      </w:r>
      <w:r>
        <w:rPr>
          <w:rFonts w:hint="eastAsia" w:ascii="仿宋_GB2312" w:hAnsi="仿宋" w:eastAsia="仿宋_GB2312"/>
          <w:b/>
          <w:color w:val="000000"/>
          <w:sz w:val="28"/>
          <w:szCs w:val="28"/>
          <w:lang w:val="en-US" w:eastAsia="zh-CN"/>
        </w:rPr>
        <w:t>肆</w:t>
      </w:r>
      <w:r>
        <w:rPr>
          <w:rFonts w:hint="eastAsia" w:ascii="仿宋_GB2312" w:hAnsi="仿宋" w:eastAsia="仿宋_GB2312"/>
          <w:b/>
          <w:color w:val="000000"/>
          <w:sz w:val="28"/>
          <w:szCs w:val="28"/>
        </w:rPr>
        <w:t>份，且在文件封面注明正本和副本。如果正本和副本有差异，以正本为准。</w:t>
      </w:r>
    </w:p>
    <w:p>
      <w:pPr>
        <w:spacing w:line="360" w:lineRule="auto"/>
        <w:ind w:firstLine="562" w:firstLineChars="200"/>
        <w:rPr>
          <w:rFonts w:hint="eastAsia" w:ascii="仿宋_GB2312" w:hAnsi="仿宋" w:eastAsia="仿宋_GB2312"/>
          <w:b/>
          <w:color w:val="000000"/>
          <w:sz w:val="28"/>
          <w:szCs w:val="28"/>
        </w:rPr>
      </w:pPr>
      <w:r>
        <w:rPr>
          <w:rFonts w:hint="eastAsia" w:ascii="仿宋_GB2312" w:hAnsi="仿宋" w:eastAsia="仿宋_GB2312"/>
          <w:b/>
          <w:color w:val="000000"/>
          <w:sz w:val="28"/>
          <w:szCs w:val="28"/>
        </w:rPr>
        <w:t>（一）资格证明文件</w:t>
      </w:r>
    </w:p>
    <w:p>
      <w:pPr>
        <w:spacing w:line="360" w:lineRule="auto"/>
        <w:ind w:firstLine="560" w:firstLineChars="200"/>
        <w:rPr>
          <w:rFonts w:hint="eastAsia" w:ascii="仿宋_GB2312" w:hAnsi="仿宋" w:eastAsia="仿宋_GB2312"/>
          <w:b/>
          <w:color w:val="000000"/>
          <w:sz w:val="28"/>
          <w:szCs w:val="28"/>
        </w:rPr>
      </w:pPr>
      <w:r>
        <w:rPr>
          <w:rFonts w:hint="eastAsia" w:ascii="仿宋_GB2312" w:hAnsi="仿宋" w:eastAsia="仿宋_GB2312"/>
          <w:color w:val="000000"/>
          <w:sz w:val="28"/>
          <w:szCs w:val="28"/>
        </w:rPr>
        <w:t>1.“资格证明文件”袋封面（格式见第三部分）；</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2.供应商资格证明文件</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营业执照、税务登记证、组织机构代码、资质证书等。如已三证合一，无需提供税务登记证和组织机构代码证</w:t>
      </w:r>
      <w:r>
        <w:rPr>
          <w:rFonts w:hint="eastAsia" w:ascii="仿宋_GB2312" w:hAnsi="仿宋" w:eastAsia="仿宋_GB2312" w:cs="宋体"/>
          <w:color w:val="000000"/>
          <w:kern w:val="0"/>
          <w:sz w:val="28"/>
          <w:szCs w:val="28"/>
        </w:rPr>
        <w:t>；</w:t>
      </w:r>
    </w:p>
    <w:p>
      <w:pPr>
        <w:spacing w:line="360" w:lineRule="auto"/>
        <w:ind w:firstLine="560" w:firstLineChars="200"/>
        <w:rPr>
          <w:rFonts w:hint="eastAsia" w:ascii="仿宋_GB2312" w:hAnsi="仿宋" w:eastAsia="仿宋_GB2312"/>
          <w:color w:val="808080"/>
          <w:sz w:val="28"/>
          <w:szCs w:val="28"/>
        </w:rPr>
      </w:pPr>
      <w:r>
        <w:rPr>
          <w:rFonts w:hint="eastAsia" w:ascii="仿宋_GB2312" w:hAnsi="仿宋" w:eastAsia="仿宋_GB2312"/>
          <w:color w:val="000000"/>
          <w:sz w:val="28"/>
          <w:szCs w:val="28"/>
        </w:rPr>
        <w:t>3.承诺书（格式见第三部分）；</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4.供应商法定代表人身份证明书（格式见第三部分）；</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5.供应商法定代表人授权书（格式见第三部分）；</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6.供应商企业基本情况（企业规模、财务状况、项目团队等）；</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7.供应商业绩项目一览表及业绩证明材料（格式见第三部分）；</w:t>
      </w:r>
    </w:p>
    <w:p>
      <w:pPr>
        <w:spacing w:line="360" w:lineRule="auto"/>
        <w:ind w:firstLine="560" w:firstLineChars="200"/>
        <w:rPr>
          <w:rFonts w:hint="eastAsia" w:ascii="仿宋_GB2312" w:hAnsi="仿宋" w:eastAsia="仿宋_GB2312" w:cs="宋体"/>
          <w:color w:val="000000"/>
          <w:kern w:val="0"/>
          <w:sz w:val="28"/>
          <w:szCs w:val="28"/>
        </w:rPr>
      </w:pPr>
      <w:r>
        <w:rPr>
          <w:rFonts w:hint="eastAsia" w:ascii="仿宋_GB2312" w:hAnsi="仿宋" w:eastAsia="仿宋_GB2312"/>
          <w:color w:val="000000"/>
          <w:sz w:val="28"/>
          <w:szCs w:val="28"/>
          <w:highlight w:val="none"/>
        </w:rPr>
        <w:t>8.</w:t>
      </w:r>
      <w:r>
        <w:rPr>
          <w:rFonts w:hint="eastAsia" w:ascii="仿宋_GB2312" w:hAnsi="仿宋" w:eastAsia="仿宋_GB2312"/>
          <w:color w:val="000000"/>
          <w:sz w:val="28"/>
          <w:szCs w:val="28"/>
        </w:rPr>
        <w:t>供应商为法定代表人参加谈判的，须提供法定代表人的有效身份证明；授权代理人参加谈判的，须出具有效的法定代表人授权书、法定代表人及授权代理人身份证明</w:t>
      </w:r>
      <w:r>
        <w:rPr>
          <w:rFonts w:hint="eastAsia" w:ascii="仿宋_GB2312" w:hAnsi="仿宋" w:eastAsia="仿宋_GB2312" w:cs="宋体"/>
          <w:color w:val="000000"/>
          <w:kern w:val="0"/>
          <w:sz w:val="28"/>
          <w:szCs w:val="28"/>
        </w:rPr>
        <w:t>（格式见第三部分）</w:t>
      </w:r>
      <w:r>
        <w:rPr>
          <w:rFonts w:hint="eastAsia" w:ascii="仿宋_GB2312" w:hAnsi="仿宋" w:eastAsia="仿宋_GB2312"/>
          <w:color w:val="000000"/>
          <w:sz w:val="28"/>
          <w:szCs w:val="28"/>
        </w:rPr>
        <w:t>。</w:t>
      </w:r>
    </w:p>
    <w:p>
      <w:pPr>
        <w:spacing w:line="360" w:lineRule="auto"/>
        <w:ind w:firstLine="537" w:firstLineChars="192"/>
        <w:rPr>
          <w:rFonts w:hint="eastAsia" w:ascii="仿宋_GB2312" w:hAnsi="仿宋" w:eastAsia="仿宋_GB2312" w:cs="宋体"/>
          <w:color w:val="000000"/>
          <w:kern w:val="0"/>
          <w:sz w:val="28"/>
          <w:szCs w:val="28"/>
        </w:rPr>
      </w:pPr>
      <w:r>
        <w:rPr>
          <w:rFonts w:hint="eastAsia" w:ascii="仿宋_GB2312" w:hAnsi="仿宋" w:eastAsia="仿宋_GB2312"/>
          <w:color w:val="000000"/>
          <w:sz w:val="28"/>
          <w:szCs w:val="28"/>
        </w:rPr>
        <w:t>上述文件</w:t>
      </w:r>
      <w:r>
        <w:rPr>
          <w:rFonts w:hint="eastAsia" w:ascii="仿宋_GB2312" w:hAnsi="仿宋" w:eastAsia="仿宋_GB2312" w:cs="宋体"/>
          <w:color w:val="000000"/>
          <w:kern w:val="0"/>
          <w:sz w:val="28"/>
          <w:szCs w:val="28"/>
        </w:rPr>
        <w:t>上须加盖供应商公章。其原件随身携带备查，如要求出示原件而不能出示原件的，为无效文件；所出示的原件与复印件不符，以原件为审查依据；参会人员须携带身份证原件。</w:t>
      </w:r>
    </w:p>
    <w:p>
      <w:pPr>
        <w:tabs>
          <w:tab w:val="left" w:pos="0"/>
        </w:tabs>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s="宋体"/>
          <w:color w:val="000000"/>
          <w:kern w:val="0"/>
          <w:sz w:val="28"/>
          <w:szCs w:val="28"/>
        </w:rPr>
        <w:t>以上为资格证明必备条件，所提供的材料必须在有效期内，须年检的证件，年检章应清晰，如有一项未提供或所提供的证件不在有效期内，在资格性审查时将视其为不合格。</w:t>
      </w:r>
    </w:p>
    <w:p>
      <w:pPr>
        <w:pStyle w:val="22"/>
        <w:tabs>
          <w:tab w:val="left" w:pos="0"/>
        </w:tabs>
        <w:snapToGrid w:val="0"/>
        <w:spacing w:line="360" w:lineRule="auto"/>
        <w:ind w:firstLine="562" w:firstLineChars="200"/>
        <w:rPr>
          <w:rFonts w:hint="eastAsia" w:ascii="仿宋_GB2312" w:hAnsi="仿宋" w:eastAsia="仿宋_GB2312"/>
          <w:b/>
          <w:color w:val="000000"/>
          <w:sz w:val="28"/>
          <w:szCs w:val="28"/>
          <w:highlight w:val="none"/>
        </w:rPr>
      </w:pPr>
      <w:r>
        <w:rPr>
          <w:rFonts w:hint="eastAsia" w:ascii="仿宋_GB2312" w:hAnsi="仿宋" w:eastAsia="仿宋_GB2312"/>
          <w:b/>
          <w:color w:val="000000"/>
          <w:sz w:val="28"/>
          <w:szCs w:val="28"/>
        </w:rPr>
        <w:t>以上所提供的资料须加盖单位公章并按后述格式要求装订成册</w:t>
      </w:r>
      <w:r>
        <w:rPr>
          <w:rFonts w:hint="eastAsia" w:ascii="仿宋_GB2312" w:hAnsi="仿宋" w:eastAsia="仿宋_GB2312"/>
          <w:b/>
          <w:color w:val="000000"/>
          <w:sz w:val="28"/>
          <w:szCs w:val="28"/>
          <w:lang w:eastAsia="zh-CN"/>
        </w:rPr>
        <w:t>；</w:t>
      </w:r>
      <w:r>
        <w:rPr>
          <w:rFonts w:hint="eastAsia" w:ascii="仿宋_GB2312" w:hAnsi="仿宋" w:eastAsia="仿宋_GB2312"/>
          <w:b/>
          <w:color w:val="000000"/>
          <w:sz w:val="28"/>
          <w:szCs w:val="28"/>
          <w:lang w:val="en-US" w:eastAsia="zh-CN"/>
        </w:rPr>
        <w:t>报价文件应</w:t>
      </w:r>
      <w:r>
        <w:rPr>
          <w:rFonts w:hint="eastAsia" w:ascii="仿宋_GB2312" w:hAnsi="仿宋" w:eastAsia="仿宋_GB2312"/>
          <w:b/>
          <w:color w:val="000000"/>
          <w:sz w:val="28"/>
          <w:szCs w:val="28"/>
          <w:highlight w:val="none"/>
        </w:rPr>
        <w:t>单独密封。</w:t>
      </w:r>
    </w:p>
    <w:p>
      <w:pPr>
        <w:autoSpaceDE w:val="0"/>
        <w:autoSpaceDN w:val="0"/>
        <w:adjustRightInd w:val="0"/>
        <w:spacing w:line="360" w:lineRule="auto"/>
        <w:ind w:firstLine="562" w:firstLineChars="200"/>
        <w:rPr>
          <w:rFonts w:hint="eastAsia" w:ascii="仿宋_GB2312" w:hAnsi="仿宋" w:eastAsia="仿宋_GB2312" w:cs="Courier New"/>
          <w:b/>
          <w:bCs/>
          <w:color w:val="000000"/>
          <w:sz w:val="28"/>
          <w:szCs w:val="28"/>
          <w:highlight w:val="none"/>
        </w:rPr>
      </w:pPr>
      <w:r>
        <w:rPr>
          <w:rFonts w:hint="eastAsia" w:ascii="仿宋_GB2312" w:hAnsi="仿宋" w:eastAsia="仿宋_GB2312" w:cs="Courier New"/>
          <w:b/>
          <w:bCs/>
          <w:color w:val="000000"/>
          <w:sz w:val="28"/>
          <w:szCs w:val="28"/>
          <w:highlight w:val="none"/>
        </w:rPr>
        <w:t>（二）技术文件</w:t>
      </w:r>
    </w:p>
    <w:p>
      <w:pPr>
        <w:autoSpaceDE w:val="0"/>
        <w:autoSpaceDN w:val="0"/>
        <w:adjustRightInd w:val="0"/>
        <w:spacing w:line="360" w:lineRule="auto"/>
        <w:ind w:firstLine="560" w:firstLineChars="200"/>
        <w:rPr>
          <w:rFonts w:hint="eastAsia" w:ascii="仿宋_GB2312" w:hAnsi="仿宋" w:eastAsia="仿宋_GB2312" w:cs="Courier New"/>
          <w:color w:val="000000"/>
          <w:sz w:val="28"/>
          <w:szCs w:val="28"/>
          <w:highlight w:val="none"/>
          <w:lang w:eastAsia="zh-CN"/>
        </w:rPr>
      </w:pPr>
      <w:r>
        <w:rPr>
          <w:rFonts w:hint="eastAsia" w:ascii="仿宋_GB2312" w:hAnsi="仿宋" w:eastAsia="仿宋_GB2312" w:cs="Courier New"/>
          <w:color w:val="000000"/>
          <w:sz w:val="28"/>
          <w:szCs w:val="28"/>
          <w:highlight w:val="none"/>
          <w:lang w:eastAsia="zh-CN"/>
        </w:rPr>
        <w:t>投标人应提供污泥处置所需设施的证明材料，提供设施汇总表及相应设施图片，处置工艺流程图及环评批复等相关文件，内容格式不限。</w:t>
      </w:r>
    </w:p>
    <w:p>
      <w:pPr>
        <w:spacing w:line="360" w:lineRule="auto"/>
        <w:ind w:firstLine="562" w:firstLineChars="200"/>
        <w:rPr>
          <w:rFonts w:hint="eastAsia" w:ascii="仿宋_GB2312" w:hAnsi="仿宋" w:eastAsia="仿宋_GB2312"/>
          <w:b/>
          <w:color w:val="0000FF"/>
          <w:sz w:val="28"/>
          <w:szCs w:val="28"/>
        </w:rPr>
      </w:pPr>
      <w:r>
        <w:rPr>
          <w:rFonts w:hint="eastAsia" w:ascii="仿宋_GB2312" w:hAnsi="仿宋" w:eastAsia="仿宋_GB2312"/>
          <w:b/>
          <w:color w:val="000000"/>
          <w:sz w:val="28"/>
          <w:szCs w:val="28"/>
        </w:rPr>
        <w:t>（三）报价文件</w:t>
      </w:r>
      <w:r>
        <w:rPr>
          <w:rFonts w:hint="eastAsia" w:ascii="仿宋_GB2312" w:hAnsi="仿宋" w:eastAsia="仿宋_GB2312"/>
          <w:color w:val="000000"/>
          <w:sz w:val="28"/>
          <w:szCs w:val="28"/>
        </w:rPr>
        <w:t xml:space="preserve"> </w:t>
      </w:r>
    </w:p>
    <w:p>
      <w:pPr>
        <w:pStyle w:val="22"/>
        <w:tabs>
          <w:tab w:val="left" w:pos="0"/>
        </w:tabs>
        <w:snapToGrid w:val="0"/>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1.“报价文件”袋封面（格式见第三部分）；</w:t>
      </w:r>
    </w:p>
    <w:p>
      <w:pPr>
        <w:pStyle w:val="22"/>
        <w:tabs>
          <w:tab w:val="left" w:pos="0"/>
        </w:tabs>
        <w:snapToGrid w:val="0"/>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2.报价表（格式见第三部分）。 </w:t>
      </w:r>
    </w:p>
    <w:p>
      <w:pPr>
        <w:pStyle w:val="22"/>
        <w:tabs>
          <w:tab w:val="left" w:pos="0"/>
        </w:tabs>
        <w:snapToGrid w:val="0"/>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报价文件中所写明的报价将作为谈判的首轮报价；</w:t>
      </w:r>
    </w:p>
    <w:p>
      <w:pPr>
        <w:pStyle w:val="22"/>
        <w:tabs>
          <w:tab w:val="left" w:pos="0"/>
        </w:tabs>
        <w:snapToGrid w:val="0"/>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3.供应商报价应包含供应商完成本项目全部工作所应收取的全部费用。如果供应商在成交并签署合同后，在完成本项目的工作中出现的任何遗漏，均由成交供应商免费提供，采购人不再支付任何费用；</w:t>
      </w:r>
    </w:p>
    <w:p>
      <w:pPr>
        <w:autoSpaceDE w:val="0"/>
        <w:autoSpaceDN w:val="0"/>
        <w:adjustRightInd w:val="0"/>
        <w:spacing w:line="360" w:lineRule="auto"/>
        <w:ind w:firstLine="560"/>
        <w:rPr>
          <w:rFonts w:hint="eastAsia" w:ascii="仿宋_GB2312" w:hAnsi="仿宋" w:eastAsia="仿宋_GB2312" w:cs="Courier New"/>
          <w:color w:val="000000"/>
          <w:sz w:val="28"/>
          <w:szCs w:val="28"/>
        </w:rPr>
      </w:pPr>
      <w:r>
        <w:rPr>
          <w:rFonts w:hint="eastAsia" w:ascii="仿宋_GB2312" w:hAnsi="仿宋" w:eastAsia="仿宋_GB2312"/>
          <w:color w:val="000000"/>
          <w:sz w:val="28"/>
          <w:szCs w:val="28"/>
        </w:rPr>
        <w:t>4.</w:t>
      </w:r>
      <w:r>
        <w:rPr>
          <w:rFonts w:hint="eastAsia" w:ascii="仿宋_GB2312" w:hAnsi="仿宋" w:eastAsia="仿宋_GB2312" w:cs="Courier New"/>
          <w:color w:val="000000"/>
          <w:sz w:val="28"/>
          <w:szCs w:val="28"/>
        </w:rPr>
        <w:t>供应商只允许有一个最终报价，如未按要求报价，为无效报价。</w:t>
      </w:r>
    </w:p>
    <w:p>
      <w:pPr>
        <w:pStyle w:val="4"/>
        <w:rPr>
          <w:rFonts w:hint="eastAsia"/>
        </w:rPr>
      </w:pPr>
      <w:bookmarkStart w:id="11" w:name="_Toc13659"/>
      <w:bookmarkStart w:id="12" w:name="_Toc3129"/>
      <w:r>
        <w:rPr>
          <w:rFonts w:hint="eastAsia"/>
        </w:rPr>
        <w:t>三、谈判响应文件的编制</w:t>
      </w:r>
      <w:bookmarkEnd w:id="11"/>
      <w:bookmarkEnd w:id="12"/>
    </w:p>
    <w:p>
      <w:pPr>
        <w:spacing w:line="360" w:lineRule="auto"/>
        <w:ind w:firstLine="560" w:firstLineChars="200"/>
        <w:rPr>
          <w:rFonts w:hint="eastAsia" w:ascii="仿宋_GB2312" w:hAnsi="仿宋" w:eastAsia="仿宋_GB2312"/>
          <w:color w:val="0D0D0D"/>
          <w:sz w:val="28"/>
          <w:szCs w:val="28"/>
        </w:rPr>
      </w:pPr>
      <w:r>
        <w:rPr>
          <w:rFonts w:hint="eastAsia" w:ascii="仿宋_GB2312" w:hAnsi="仿宋" w:eastAsia="仿宋_GB2312"/>
          <w:color w:val="0D0D0D"/>
          <w:sz w:val="28"/>
          <w:szCs w:val="28"/>
        </w:rPr>
        <w:t>1.</w:t>
      </w:r>
      <w:r>
        <w:rPr>
          <w:rFonts w:hint="eastAsia" w:ascii="仿宋_GB2312" w:eastAsia="仿宋_GB2312"/>
          <w:b/>
          <w:bCs/>
          <w:sz w:val="28"/>
          <w:szCs w:val="28"/>
        </w:rPr>
        <w:t>报价文件应单独密封，其余所有文件可装订成册另行密封</w:t>
      </w:r>
      <w:r>
        <w:rPr>
          <w:rFonts w:hint="eastAsia" w:ascii="仿宋_GB2312" w:hAnsi="仿宋" w:eastAsia="仿宋_GB2312"/>
          <w:color w:val="0D0D0D"/>
          <w:sz w:val="28"/>
          <w:szCs w:val="28"/>
        </w:rPr>
        <w:t>；</w:t>
      </w:r>
    </w:p>
    <w:p>
      <w:pPr>
        <w:spacing w:line="360" w:lineRule="auto"/>
        <w:ind w:firstLine="537" w:firstLineChars="192"/>
        <w:rPr>
          <w:rFonts w:hint="eastAsia" w:ascii="仿宋_GB2312" w:hAnsi="仿宋" w:eastAsia="仿宋_GB2312"/>
          <w:color w:val="0D0D0D"/>
          <w:sz w:val="28"/>
          <w:szCs w:val="28"/>
        </w:rPr>
      </w:pPr>
      <w:r>
        <w:rPr>
          <w:rFonts w:hint="eastAsia" w:ascii="仿宋_GB2312" w:hAnsi="仿宋" w:eastAsia="仿宋_GB2312"/>
          <w:color w:val="0D0D0D"/>
          <w:sz w:val="28"/>
          <w:szCs w:val="28"/>
        </w:rPr>
        <w:t>2.谈判响应文件一律采用A4纸张；</w:t>
      </w:r>
    </w:p>
    <w:p>
      <w:pPr>
        <w:spacing w:line="360" w:lineRule="auto"/>
        <w:ind w:firstLine="537" w:firstLineChars="192"/>
        <w:rPr>
          <w:rFonts w:hint="eastAsia" w:ascii="仿宋_GB2312" w:hAnsi="仿宋" w:eastAsia="仿宋_GB2312"/>
          <w:color w:val="0D0D0D"/>
          <w:sz w:val="28"/>
          <w:szCs w:val="28"/>
        </w:rPr>
      </w:pPr>
      <w:r>
        <w:rPr>
          <w:rFonts w:hint="eastAsia" w:ascii="仿宋_GB2312" w:hAnsi="仿宋" w:eastAsia="仿宋_GB2312"/>
          <w:color w:val="0D0D0D"/>
          <w:sz w:val="28"/>
          <w:szCs w:val="28"/>
        </w:rPr>
        <w:t>供应商须逐一注明以下内容并打印后贴到每一个密封袋上：</w:t>
      </w:r>
    </w:p>
    <w:p>
      <w:pPr>
        <w:spacing w:line="360" w:lineRule="auto"/>
        <w:ind w:firstLine="537" w:firstLineChars="192"/>
        <w:rPr>
          <w:rFonts w:hint="eastAsia" w:ascii="仿宋_GB2312" w:hAnsi="仿宋" w:eastAsia="仿宋_GB2312"/>
          <w:color w:val="0D0D0D"/>
          <w:sz w:val="28"/>
          <w:szCs w:val="28"/>
        </w:rPr>
      </w:pPr>
      <w:r>
        <w:rPr>
          <w:rFonts w:hint="eastAsia" w:ascii="仿宋_GB2312" w:hAnsi="仿宋" w:eastAsia="仿宋_GB2312"/>
          <w:color w:val="0D0D0D"/>
          <w:sz w:val="28"/>
          <w:szCs w:val="28"/>
        </w:rPr>
        <w:t>（1）文件名称（指此密封袋内所装的文件类型。如为资格证明文件，则注明：资格证明文件，以此类推）；</w:t>
      </w:r>
    </w:p>
    <w:p>
      <w:pPr>
        <w:spacing w:line="360" w:lineRule="auto"/>
        <w:ind w:firstLine="560" w:firstLineChars="200"/>
        <w:rPr>
          <w:rFonts w:hint="eastAsia" w:ascii="仿宋_GB2312" w:hAnsi="仿宋" w:eastAsia="仿宋_GB2312"/>
          <w:color w:val="0D0D0D"/>
          <w:sz w:val="28"/>
          <w:szCs w:val="28"/>
        </w:rPr>
      </w:pPr>
      <w:r>
        <w:rPr>
          <w:rFonts w:hint="eastAsia" w:ascii="仿宋_GB2312" w:hAnsi="仿宋" w:eastAsia="仿宋_GB2312"/>
          <w:color w:val="0D0D0D"/>
          <w:sz w:val="28"/>
          <w:szCs w:val="28"/>
        </w:rPr>
        <w:t>（2）项目名称</w:t>
      </w:r>
      <w:r>
        <w:rPr>
          <w:rFonts w:hint="eastAsia" w:ascii="仿宋_GB2312" w:hAnsi="黑体" w:eastAsia="仿宋_GB2312"/>
          <w:color w:val="0D0D0D"/>
          <w:sz w:val="28"/>
          <w:szCs w:val="28"/>
        </w:rPr>
        <w:t>；</w:t>
      </w:r>
    </w:p>
    <w:p>
      <w:pPr>
        <w:spacing w:line="360" w:lineRule="auto"/>
        <w:ind w:firstLine="420"/>
        <w:rPr>
          <w:rFonts w:hint="eastAsia" w:ascii="仿宋_GB2312" w:hAnsi="仿宋" w:eastAsia="仿宋_GB2312"/>
          <w:color w:val="0D0D0D"/>
          <w:sz w:val="28"/>
          <w:szCs w:val="28"/>
        </w:rPr>
      </w:pPr>
      <w:r>
        <w:rPr>
          <w:rFonts w:hint="eastAsia" w:ascii="仿宋_GB2312" w:hAnsi="仿宋" w:eastAsia="仿宋_GB2312"/>
          <w:color w:val="0D0D0D"/>
          <w:sz w:val="28"/>
          <w:szCs w:val="28"/>
        </w:rPr>
        <w:t xml:space="preserve"> （3）“于×年×月×日×时之前（指谈判</w:t>
      </w:r>
      <w:r>
        <w:rPr>
          <w:rFonts w:hint="eastAsia" w:ascii="仿宋_GB2312" w:hAnsi="仿宋" w:eastAsia="仿宋_GB2312"/>
          <w:color w:val="000000"/>
          <w:sz w:val="28"/>
          <w:szCs w:val="28"/>
          <w:highlight w:val="none"/>
          <w:lang w:val="en-US" w:eastAsia="zh-CN"/>
        </w:rPr>
        <w:t>公告</w:t>
      </w:r>
      <w:r>
        <w:rPr>
          <w:rFonts w:hint="eastAsia" w:ascii="仿宋_GB2312" w:hAnsi="仿宋" w:eastAsia="仿宋_GB2312"/>
          <w:color w:val="0D0D0D"/>
          <w:sz w:val="28"/>
          <w:szCs w:val="28"/>
        </w:rPr>
        <w:t>中规定的谈判日期及时间），不准开启”字样；</w:t>
      </w:r>
    </w:p>
    <w:p>
      <w:pPr>
        <w:spacing w:line="360" w:lineRule="auto"/>
        <w:ind w:firstLine="420" w:firstLineChars="150"/>
        <w:rPr>
          <w:rFonts w:hint="eastAsia" w:ascii="仿宋_GB2312" w:hAnsi="仿宋" w:eastAsia="仿宋_GB2312"/>
          <w:color w:val="0D0D0D"/>
          <w:sz w:val="28"/>
          <w:szCs w:val="28"/>
        </w:rPr>
      </w:pPr>
      <w:r>
        <w:rPr>
          <w:rFonts w:hint="eastAsia" w:ascii="仿宋_GB2312" w:hAnsi="仿宋" w:eastAsia="仿宋_GB2312"/>
          <w:color w:val="0D0D0D"/>
          <w:sz w:val="28"/>
          <w:szCs w:val="28"/>
        </w:rPr>
        <w:t xml:space="preserve"> （4）供应商名称及地址。</w:t>
      </w:r>
    </w:p>
    <w:p>
      <w:pPr>
        <w:spacing w:line="360" w:lineRule="auto"/>
        <w:ind w:firstLine="537" w:firstLineChars="192"/>
        <w:rPr>
          <w:rFonts w:hint="eastAsia" w:ascii="仿宋_GB2312" w:hAnsi="仿宋" w:eastAsia="仿宋_GB2312"/>
          <w:color w:val="0D0D0D"/>
          <w:sz w:val="28"/>
          <w:szCs w:val="28"/>
        </w:rPr>
      </w:pPr>
      <w:r>
        <w:rPr>
          <w:rFonts w:hint="eastAsia" w:ascii="仿宋_GB2312" w:hAnsi="仿宋" w:eastAsia="仿宋_GB2312"/>
          <w:color w:val="0D0D0D"/>
          <w:sz w:val="28"/>
          <w:szCs w:val="28"/>
        </w:rPr>
        <w:t>并在文件袋封口处盖供应商公章。</w:t>
      </w:r>
    </w:p>
    <w:p>
      <w:pPr>
        <w:spacing w:line="360" w:lineRule="auto"/>
        <w:ind w:firstLine="537" w:firstLineChars="192"/>
        <w:rPr>
          <w:rFonts w:hint="eastAsia" w:ascii="仿宋_GB2312" w:hAnsi="仿宋" w:eastAsia="仿宋_GB2312"/>
          <w:color w:val="0D0D0D"/>
          <w:sz w:val="28"/>
          <w:szCs w:val="28"/>
        </w:rPr>
      </w:pPr>
      <w:r>
        <w:rPr>
          <w:rFonts w:hint="eastAsia" w:ascii="仿宋_GB2312" w:hAnsi="仿宋" w:eastAsia="仿宋_GB2312"/>
          <w:color w:val="0D0D0D"/>
          <w:sz w:val="28"/>
          <w:szCs w:val="28"/>
        </w:rPr>
        <w:t>3.所有文件须同时递交</w:t>
      </w:r>
      <w:r>
        <w:rPr>
          <w:rFonts w:hint="eastAsia" w:ascii="仿宋_GB2312" w:hAnsi="仿宋" w:eastAsia="仿宋_GB2312" w:cs="宋体"/>
          <w:color w:val="0D0D0D"/>
          <w:kern w:val="0"/>
          <w:sz w:val="28"/>
          <w:szCs w:val="28"/>
        </w:rPr>
        <w:t>指定地点</w:t>
      </w:r>
      <w:r>
        <w:rPr>
          <w:rFonts w:hint="eastAsia" w:ascii="仿宋_GB2312" w:hAnsi="仿宋" w:eastAsia="仿宋_GB2312"/>
          <w:color w:val="0D0D0D"/>
          <w:sz w:val="28"/>
          <w:szCs w:val="28"/>
        </w:rPr>
        <w:t>，且不得混装。</w:t>
      </w:r>
    </w:p>
    <w:p>
      <w:pPr>
        <w:pStyle w:val="4"/>
        <w:rPr>
          <w:rFonts w:hint="eastAsia"/>
        </w:rPr>
      </w:pPr>
      <w:bookmarkStart w:id="13" w:name="_Toc16124"/>
      <w:bookmarkStart w:id="14" w:name="_Toc14173"/>
      <w:r>
        <w:rPr>
          <w:rFonts w:hint="eastAsia"/>
        </w:rPr>
        <w:t>四、谈判响应文件的递交</w:t>
      </w:r>
      <w:bookmarkEnd w:id="13"/>
      <w:bookmarkEnd w:id="14"/>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（一）谈判响应文件的递交</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1.谈判响应文件必须在谈判响应文件递交截止时间前送达到竞争性谈判文件中指定的递交地点；</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2.在递交谈判响应文件的同时，须提交法定代表人的授权委托书、授权代表的有效身份证件以及被授权人的社保证明；</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3.采购人如因故推迟谈判响应文件递交截止时间，应以书面形式通知所有供应商。在这种情况下，采购人和供应商的权利和义务将受到新的截止时间的约束。</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（二）谈判响应文件的修改和撤回</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1.在谈判响应文件递交截止时间前，供应商可以用书面形式提出修改或撤回其谈判响应文件并送达到采购人。</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2.供应商修改或撤回谈判响应文件的书面材料，须密封送达到采购人。同时应在封皮上注明“谈判响应文件修改”或“谈判响应文件撤回通知”字样。</w:t>
      </w:r>
      <w:r>
        <w:rPr>
          <w:rFonts w:hint="eastAsia" w:hAnsi="宋体" w:eastAsia="仿宋_GB2312" w:cs="宋体"/>
          <w:color w:val="000000"/>
          <w:sz w:val="28"/>
          <w:szCs w:val="28"/>
        </w:rPr>
        <w:t> </w:t>
      </w:r>
    </w:p>
    <w:p>
      <w:pPr>
        <w:pStyle w:val="22"/>
        <w:tabs>
          <w:tab w:val="left" w:pos="0"/>
        </w:tabs>
        <w:snapToGrid w:val="0"/>
        <w:spacing w:line="360" w:lineRule="auto"/>
        <w:rPr>
          <w:rFonts w:hint="eastAsia" w:ascii="仿宋_GB2312" w:hAnsi="黑体" w:eastAsia="仿宋_GB2312"/>
          <w:color w:val="000000"/>
          <w:sz w:val="28"/>
          <w:szCs w:val="28"/>
        </w:rPr>
      </w:pPr>
      <w:r>
        <w:rPr>
          <w:rFonts w:hint="eastAsia" w:ascii="仿宋_GB2312" w:hAnsi="黑体" w:eastAsia="仿宋_GB2312"/>
          <w:color w:val="000000"/>
          <w:sz w:val="28"/>
          <w:szCs w:val="28"/>
        </w:rPr>
        <w:tab/>
      </w:r>
      <w:r>
        <w:rPr>
          <w:rFonts w:hint="eastAsia" w:ascii="仿宋_GB2312" w:hAnsi="黑体" w:eastAsia="仿宋_GB2312"/>
          <w:color w:val="000000"/>
          <w:sz w:val="28"/>
          <w:szCs w:val="28"/>
        </w:rPr>
        <w:t xml:space="preserve"> 3.若供应商以传真或邮件形式通知采购人撤回报价，随后必须补充有法定代表人或其授权代表签署的正式文件送达到采购人。</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4.从谈判响应文件递交截止日期起至报价有效期满这段时间内，供应商不得撤回其谈判响应文件。</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（三）发生下列情况之一的谈判响应文件拒绝接收。</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1.在谈判响应文件递交截止时间以后送达的谈判响应文件；</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2.未按照竞争性谈判文件规定要求密封、签署、盖章的；</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3.由于包装不妥在送达途中严重破损或失散的谈判响应文件；</w:t>
      </w:r>
      <w:r>
        <w:rPr>
          <w:rFonts w:hint="eastAsia" w:hAnsi="宋体" w:eastAsia="仿宋_GB2312" w:cs="宋体"/>
          <w:color w:val="000000"/>
          <w:sz w:val="28"/>
          <w:szCs w:val="28"/>
        </w:rPr>
        <w:t> </w:t>
      </w:r>
    </w:p>
    <w:p>
      <w:pPr>
        <w:pStyle w:val="22"/>
        <w:tabs>
          <w:tab w:val="left" w:pos="0"/>
        </w:tabs>
        <w:snapToGrid w:val="0"/>
        <w:spacing w:line="360" w:lineRule="auto"/>
        <w:ind w:firstLine="560" w:firstLineChars="200"/>
        <w:rPr>
          <w:rFonts w:hint="eastAsia" w:ascii="仿宋_GB2312" w:hAnsi="黑体" w:eastAsia="仿宋_GB2312"/>
          <w:color w:val="000000"/>
          <w:sz w:val="28"/>
          <w:szCs w:val="28"/>
        </w:rPr>
      </w:pPr>
      <w:r>
        <w:rPr>
          <w:rFonts w:hint="eastAsia" w:ascii="仿宋_GB2312" w:hAnsi="黑体" w:eastAsia="仿宋_GB2312"/>
          <w:color w:val="000000"/>
          <w:sz w:val="28"/>
          <w:szCs w:val="28"/>
        </w:rPr>
        <w:t>4.以电讯形式送达的谈判响应文件。</w:t>
      </w:r>
    </w:p>
    <w:p>
      <w:pPr>
        <w:pStyle w:val="4"/>
        <w:rPr>
          <w:rFonts w:hint="eastAsia"/>
          <w:color w:val="000000"/>
        </w:rPr>
      </w:pPr>
      <w:bookmarkStart w:id="15" w:name="_Toc4134"/>
      <w:bookmarkStart w:id="16" w:name="_Toc14322"/>
      <w:bookmarkStart w:id="17" w:name="_Toc6799"/>
      <w:r>
        <w:rPr>
          <w:rFonts w:hint="eastAsia"/>
          <w:color w:val="000000"/>
        </w:rPr>
        <w:t>五、谈判办法和谈判事宜</w:t>
      </w:r>
      <w:bookmarkEnd w:id="15"/>
      <w:bookmarkEnd w:id="16"/>
      <w:bookmarkEnd w:id="17"/>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采购人依照有关规定，并根据本次谈判项目的特点组织评审小组，评审小组由相关部门共</w:t>
      </w:r>
      <w:r>
        <w:rPr>
          <w:rFonts w:hint="eastAsia" w:ascii="仿宋_GB2312" w:hAnsi="仿宋" w:eastAsia="仿宋_GB2312"/>
          <w:color w:val="000000"/>
          <w:sz w:val="28"/>
          <w:szCs w:val="28"/>
          <w:lang w:val="en-US" w:eastAsia="zh-CN"/>
        </w:rPr>
        <w:t>5</w:t>
      </w:r>
      <w:r>
        <w:rPr>
          <w:rFonts w:hint="eastAsia" w:ascii="仿宋_GB2312" w:hAnsi="仿宋" w:eastAsia="仿宋_GB2312"/>
          <w:color w:val="000000"/>
          <w:sz w:val="28"/>
          <w:szCs w:val="28"/>
        </w:rPr>
        <w:t>人组成，进行成交候选供应商的确定。各供应商委派代表（或委托人）参加现场谈判。</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（一）谈判办法</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highlight w:val="yellow"/>
        </w:rPr>
        <w:t>本次评审办法是综合评审法，并</w:t>
      </w:r>
      <w:r>
        <w:rPr>
          <w:rFonts w:hint="eastAsia" w:ascii="仿宋_GB2312" w:hAnsi="仿宋" w:eastAsia="仿宋_GB2312" w:cs="Times New Roman"/>
          <w:color w:val="000000"/>
          <w:sz w:val="28"/>
          <w:szCs w:val="28"/>
          <w:highlight w:val="yellow"/>
        </w:rPr>
        <w:t>实行最高单价不超过</w:t>
      </w:r>
      <w:r>
        <w:rPr>
          <w:rFonts w:hint="eastAsia" w:ascii="仿宋_GB2312" w:hAnsi="仿宋" w:eastAsia="仿宋_GB2312" w:cs="Times New Roman"/>
          <w:color w:val="000000"/>
          <w:sz w:val="28"/>
          <w:szCs w:val="28"/>
          <w:highlight w:val="yellow"/>
          <w:lang w:val="en-US" w:eastAsia="zh-CN"/>
        </w:rPr>
        <w:t>180</w:t>
      </w:r>
      <w:r>
        <w:rPr>
          <w:rFonts w:hint="eastAsia" w:ascii="仿宋_GB2312" w:hAnsi="仿宋" w:eastAsia="仿宋_GB2312" w:cs="Times New Roman"/>
          <w:color w:val="000000"/>
          <w:sz w:val="28"/>
          <w:szCs w:val="28"/>
          <w:highlight w:val="yellow"/>
        </w:rPr>
        <w:t>元/吨</w:t>
      </w:r>
      <w:r>
        <w:rPr>
          <w:rFonts w:hint="eastAsia" w:ascii="仿宋_GB2312" w:hAnsi="仿宋" w:eastAsia="仿宋_GB2312" w:cs="Times New Roman"/>
          <w:color w:val="000000"/>
          <w:sz w:val="28"/>
          <w:szCs w:val="28"/>
        </w:rPr>
        <w:t>，评审小组首先对所有供应商进行资格审查，资格审查合</w:t>
      </w:r>
      <w:r>
        <w:rPr>
          <w:rFonts w:hint="eastAsia" w:ascii="仿宋_GB2312" w:hAnsi="仿宋" w:eastAsia="仿宋_GB2312"/>
          <w:color w:val="000000"/>
          <w:sz w:val="28"/>
          <w:szCs w:val="28"/>
        </w:rPr>
        <w:t>格的供应商报价成立，其中符合资格条件的供应商进入第二轮谈判。进入第二轮谈判的供应商进行第二轮现场报价并与采购人进行谈判，评审小组根据第二轮现场报价以及谈判结果按照本文件的评审办法进行综合评审，评分最高的供应商为中选候选人。</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评审小组对价格的计算错误按下述原则修正：（1）如果报价文件的大写金额和小写金额不一致的，以大写金额为准进行修正；（2）总价金额与按单价汇总金额不一致的,以单价金额计算结果为准;（3）单价金额小数点有明显错位的,应以总价为准,并修改单价;（4）供应商不同意以上修正，则其报价将被拒绝。</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（二）谈判程序</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1.各供应商签到；</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2.主持人宣布谈判及其注意事项；</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3.监督人员宣读纪律要求；</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4.供应商代表现场检查各响应文件的密封情况并签字；</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5.主持人当众开启除报价文件以外的所有文件并组织评审小组对供应商进行资格审查</w:t>
      </w:r>
      <w:r>
        <w:rPr>
          <w:rFonts w:hint="eastAsia" w:ascii="仿宋_GB2312" w:hAnsi="仿宋" w:eastAsia="仿宋_GB2312"/>
          <w:b/>
          <w:bCs/>
          <w:color w:val="000000"/>
          <w:sz w:val="28"/>
          <w:szCs w:val="28"/>
        </w:rPr>
        <w:t>（不符合资格条件的当场退还该供应商所有文件）</w:t>
      </w:r>
      <w:r>
        <w:rPr>
          <w:rFonts w:hint="eastAsia" w:ascii="仿宋_GB2312" w:hAnsi="仿宋" w:eastAsia="仿宋_GB2312"/>
          <w:color w:val="000000"/>
          <w:sz w:val="28"/>
          <w:szCs w:val="28"/>
        </w:rPr>
        <w:t>；</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6.主持人当众开启各资格审查合格供应商的报价文件，公布各供应商报价并登记，供应商对报价签字确认，各供应商可暂时离场；</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7.评审小组与通过资格审查的各供应商分别进行第二轮谈判，供应商进行第二轮现场修正报价及签字确认。</w:t>
      </w:r>
      <w:r>
        <w:rPr>
          <w:rFonts w:hint="eastAsia" w:ascii="仿宋_GB2312" w:hAnsi="仿宋" w:eastAsia="仿宋_GB2312"/>
          <w:b/>
          <w:bCs/>
          <w:color w:val="000000"/>
          <w:sz w:val="28"/>
          <w:szCs w:val="28"/>
        </w:rPr>
        <w:t>谈判的内容为价格、技术内容</w:t>
      </w:r>
      <w:r>
        <w:rPr>
          <w:rFonts w:hint="eastAsia" w:ascii="仿宋_GB2312" w:hAnsi="仿宋" w:eastAsia="仿宋_GB2312"/>
          <w:color w:val="000000"/>
          <w:sz w:val="28"/>
          <w:szCs w:val="28"/>
        </w:rPr>
        <w:t>等（本文件规定作为响应前提条件的除外）。谈判的任何一方在未征得另一方同意的情况下，不得向其他人透露与谈判有关的一切信息。</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8. 评审小组根据第二轮报价及谈判结果进行综合评分，得分最高的供应商即为中选候选人。</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9.评审小组及相关监管部门签字确认谈判结果。</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（三）有以下情形之一者，认定该供应商谈判响应文件无效：</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1.未按竞争性谈判文件要求的递交时间、格式及相关要求递交谈判响应文件的；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2.未实质性响应竞争性谈判文件要求的；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3.明显不符合采购需求的技术规格和标准的；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4.响应文件袋未密封完好的；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5.谈判响应文件未按要求签字和加盖公章的；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6.谈判响应文件有效期不符合竞争性谈判文件要求的；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7.谈判响应文件附有采购人不能接受的条件的；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8.不符合规定资格条件的；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9.法定代表人为同一人或者存在控股、管理关系的不同单位，不得参加同一采购项目响应或者未划分采购项目的同一项目谈判；</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10.联合体应提交联合体协议，否则，为无效响应。联合体各方在同一采购项目中以自己名义单独响应或者参加其他联合体响应的，相关响应均无效。</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11.非委托代理人或法定代表人现场提交二次报价的。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12.评审小组一致认为报价明显不合理的；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13.以他人名义响应、串通响应、以行贿手段谋取中选或者以其他弄虚作假方式响应的；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14.超出竞争性谈判文件规定最高额限价的；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15.没有按照竞争性谈判文件要求提供保证金的；</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16.法律法规规定的其他应作无效响应的。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（四）发生下列情况之一,则本次谈判不成立，采购人将重新组织谈判:</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1.在谈判响应文件递交时间截止时，供应商不足三家；</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2.资格审查合格的不足三家；</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3.按本条第（三）项规定认定后有效响应不足三家的。</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（五）评审小组职责</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1．评审小组对谈判响应文件进行审查、质疑、评估和比较，负责本项目的谈判工作，独立履行下列职责：</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（1）审查谈判响应文件是否符合竞争性谈判文件要求，并作出评价；</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（2）要求供应商对谈判响应文件有关事项作出解释或者澄清；</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（3）受采购人委托按照事先确定的办法推荐中选人；</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（4）向采购人报告非法干预谈判工作的行为。</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2．评审小组完成谈判后，应向采购人提出书面评价报告，评价报告需评审小组全体成员签字。主要内容包括：</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（1）谈判日期和地点；</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（2）供应商名单和评审小组成员名单；</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（3）谈判结果排名；</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（4）谈判记录及说明，包括报价无效供应商名单及原因；</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（5）评审小组推荐的中选候选人。</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3.谈判原则</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w:t>
      </w:r>
      <w:r>
        <w:rPr>
          <w:rFonts w:hint="eastAsia" w:ascii="仿宋_GB2312" w:hAnsi="仿宋" w:eastAsia="仿宋_GB2312"/>
          <w:color w:val="000000"/>
          <w:sz w:val="28"/>
          <w:szCs w:val="28"/>
        </w:rPr>
        <w:t>客观性原则：评审小组将严格按照竞争性谈判文件的要求，对供应商的谈判响应文件进行认真评审；评审小组对谈判响应文件的评审仅依据竞争性谈判文件本身，而不依据竞争性谈判文件以外的任何因素。</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（2</w:t>
      </w:r>
      <w:r>
        <w:rPr>
          <w:rFonts w:ascii="仿宋_GB2312" w:hAnsi="仿宋" w:eastAsia="仿宋_GB2312"/>
          <w:color w:val="000000"/>
          <w:sz w:val="28"/>
          <w:szCs w:val="28"/>
        </w:rPr>
        <w:t>）</w:t>
      </w:r>
      <w:r>
        <w:rPr>
          <w:rFonts w:hint="eastAsia" w:ascii="仿宋_GB2312" w:hAnsi="仿宋" w:eastAsia="仿宋_GB2312"/>
          <w:color w:val="000000"/>
          <w:sz w:val="28"/>
          <w:szCs w:val="28"/>
        </w:rPr>
        <w:t>统一性原则：评审小组将按照统一的谈判原则和谈判方法，用同一标准进行评审。</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（3</w:t>
      </w:r>
      <w:r>
        <w:rPr>
          <w:rFonts w:ascii="仿宋_GB2312" w:hAnsi="仿宋" w:eastAsia="仿宋_GB2312"/>
          <w:color w:val="000000"/>
          <w:sz w:val="28"/>
          <w:szCs w:val="28"/>
        </w:rPr>
        <w:t>）</w:t>
      </w:r>
      <w:r>
        <w:rPr>
          <w:rFonts w:hint="eastAsia" w:ascii="仿宋_GB2312" w:hAnsi="仿宋" w:eastAsia="仿宋_GB2312"/>
          <w:color w:val="000000"/>
          <w:sz w:val="28"/>
          <w:szCs w:val="28"/>
        </w:rPr>
        <w:t>独立性原则：谈判工作在评审小组内部独立进行，不受外界任何因素的干扰和影响。评审小组成员对出具的意见和确认的结果承担个人责任。</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（4</w:t>
      </w:r>
      <w:r>
        <w:rPr>
          <w:rFonts w:ascii="仿宋_GB2312" w:hAnsi="仿宋" w:eastAsia="仿宋_GB2312"/>
          <w:color w:val="000000"/>
          <w:sz w:val="28"/>
          <w:szCs w:val="28"/>
        </w:rPr>
        <w:t>）</w:t>
      </w:r>
      <w:r>
        <w:rPr>
          <w:rFonts w:hint="eastAsia" w:ascii="仿宋_GB2312" w:hAnsi="仿宋" w:eastAsia="仿宋_GB2312"/>
          <w:color w:val="000000"/>
          <w:sz w:val="28"/>
          <w:szCs w:val="28"/>
        </w:rPr>
        <w:t>保密性原则：采购人应当采取必要的措施，保证谈判在严格保密的情况下进行。</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（5</w:t>
      </w:r>
      <w:r>
        <w:rPr>
          <w:rFonts w:ascii="仿宋_GB2312" w:hAnsi="仿宋" w:eastAsia="仿宋_GB2312"/>
          <w:color w:val="000000"/>
          <w:sz w:val="28"/>
          <w:szCs w:val="28"/>
        </w:rPr>
        <w:t>）</w:t>
      </w:r>
      <w:r>
        <w:rPr>
          <w:rFonts w:hint="eastAsia" w:ascii="仿宋_GB2312" w:hAnsi="仿宋" w:eastAsia="仿宋_GB2312"/>
          <w:color w:val="000000"/>
          <w:sz w:val="28"/>
          <w:szCs w:val="28"/>
        </w:rPr>
        <w:t>综合性原则：评审小组将综合分析、评审供应商的各项指标，而不以单项指标的优劣评定出中选人。</w:t>
      </w:r>
    </w:p>
    <w:p>
      <w:pPr>
        <w:spacing w:line="360" w:lineRule="auto"/>
        <w:ind w:firstLine="537" w:firstLineChars="192"/>
        <w:rPr>
          <w:rFonts w:hint="eastAsia" w:ascii="仿宋_GB2312" w:hAnsi="仿宋" w:eastAsia="仿宋_GB2312"/>
          <w:color w:val="000000"/>
          <w:sz w:val="28"/>
          <w:szCs w:val="28"/>
        </w:rPr>
      </w:pPr>
      <w:r>
        <w:rPr>
          <w:rFonts w:hint="eastAsia" w:ascii="仿宋_GB2312" w:hAnsi="仿宋" w:eastAsia="仿宋_GB2312"/>
          <w:color w:val="000000"/>
          <w:sz w:val="28"/>
          <w:szCs w:val="28"/>
        </w:rPr>
        <w:t>（六）综合评审标准</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048"/>
        <w:gridCol w:w="1087"/>
        <w:gridCol w:w="4601"/>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46" w:type="dxa"/>
            <w:noWrap w:val="0"/>
            <w:vAlign w:val="center"/>
          </w:tcPr>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序号</w:t>
            </w:r>
          </w:p>
        </w:tc>
        <w:tc>
          <w:tcPr>
            <w:tcW w:w="1048" w:type="dxa"/>
            <w:noWrap w:val="0"/>
            <w:vAlign w:val="center"/>
          </w:tcPr>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评分因素</w:t>
            </w:r>
          </w:p>
        </w:tc>
        <w:tc>
          <w:tcPr>
            <w:tcW w:w="1087" w:type="dxa"/>
            <w:noWrap w:val="0"/>
            <w:vAlign w:val="center"/>
          </w:tcPr>
          <w:p>
            <w:pPr>
              <w:adjustRightInd w:val="0"/>
              <w:snapToGrid w:val="0"/>
              <w:spacing w:line="320" w:lineRule="exact"/>
              <w:jc w:val="center"/>
              <w:rPr>
                <w:rFonts w:hint="eastAsia" w:ascii="宋体" w:hAnsi="宋体" w:eastAsia="宋体" w:cs="宋体"/>
                <w:sz w:val="18"/>
                <w:szCs w:val="18"/>
              </w:rPr>
            </w:pPr>
            <w:r>
              <w:rPr>
                <w:rFonts w:hint="eastAsia" w:ascii="宋体" w:hAnsi="宋体" w:eastAsia="宋体" w:cs="宋体"/>
                <w:sz w:val="18"/>
                <w:szCs w:val="18"/>
              </w:rPr>
              <w:t>分值</w:t>
            </w:r>
          </w:p>
        </w:tc>
        <w:tc>
          <w:tcPr>
            <w:tcW w:w="4601" w:type="dxa"/>
            <w:noWrap w:val="0"/>
            <w:vAlign w:val="center"/>
          </w:tcPr>
          <w:p>
            <w:pPr>
              <w:adjustRightInd w:val="0"/>
              <w:snapToGrid w:val="0"/>
              <w:spacing w:line="320" w:lineRule="exact"/>
              <w:jc w:val="center"/>
              <w:rPr>
                <w:rFonts w:hint="eastAsia" w:ascii="宋体" w:hAnsi="宋体" w:eastAsia="宋体" w:cs="宋体"/>
                <w:sz w:val="18"/>
                <w:szCs w:val="18"/>
              </w:rPr>
            </w:pPr>
            <w:r>
              <w:rPr>
                <w:rFonts w:hint="eastAsia" w:ascii="宋体" w:hAnsi="宋体" w:eastAsia="宋体" w:cs="宋体"/>
                <w:sz w:val="18"/>
                <w:szCs w:val="18"/>
              </w:rPr>
              <w:t>评分标准</w:t>
            </w:r>
          </w:p>
        </w:tc>
        <w:tc>
          <w:tcPr>
            <w:tcW w:w="1598" w:type="dxa"/>
            <w:noWrap w:val="0"/>
            <w:vAlign w:val="center"/>
          </w:tcPr>
          <w:p>
            <w:pPr>
              <w:adjustRightInd w:val="0"/>
              <w:snapToGrid w:val="0"/>
              <w:spacing w:line="320" w:lineRule="exact"/>
              <w:jc w:val="center"/>
              <w:rPr>
                <w:rFonts w:hint="eastAsia" w:ascii="宋体" w:hAnsi="宋体" w:eastAsia="宋体" w:cs="宋体"/>
                <w:sz w:val="18"/>
                <w:szCs w:val="18"/>
              </w:rPr>
            </w:pPr>
            <w:r>
              <w:rPr>
                <w:rFonts w:hint="eastAsia" w:ascii="宋体" w:hAnsi="宋体" w:eastAsia="宋体" w:cs="宋体"/>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jc w:val="center"/>
        </w:trPr>
        <w:tc>
          <w:tcPr>
            <w:tcW w:w="646" w:type="dxa"/>
            <w:noWrap w:val="0"/>
            <w:vAlign w:val="center"/>
          </w:tcPr>
          <w:p>
            <w:pPr>
              <w:spacing w:line="32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w:t>
            </w:r>
          </w:p>
        </w:tc>
        <w:tc>
          <w:tcPr>
            <w:tcW w:w="1048" w:type="dxa"/>
            <w:noWrap w:val="0"/>
            <w:vAlign w:val="center"/>
          </w:tcPr>
          <w:p>
            <w:pPr>
              <w:adjustRightInd w:val="0"/>
              <w:snapToGrid w:val="0"/>
              <w:spacing w:line="320" w:lineRule="exact"/>
              <w:rPr>
                <w:rFonts w:hint="eastAsia" w:ascii="宋体" w:hAnsi="宋体" w:eastAsia="宋体" w:cs="宋体"/>
                <w:sz w:val="18"/>
                <w:szCs w:val="18"/>
                <w:highlight w:val="none"/>
              </w:rPr>
            </w:pPr>
            <w:r>
              <w:rPr>
                <w:rFonts w:hint="eastAsia" w:ascii="宋体" w:hAnsi="宋体" w:eastAsia="宋体" w:cs="宋体"/>
                <w:sz w:val="18"/>
                <w:szCs w:val="18"/>
                <w:highlight w:val="none"/>
              </w:rPr>
              <w:t>投标报价评分标准（</w:t>
            </w:r>
            <w:r>
              <w:rPr>
                <w:rFonts w:hint="eastAsia" w:ascii="宋体" w:hAnsi="宋体" w:eastAsia="宋体" w:cs="宋体"/>
                <w:sz w:val="18"/>
                <w:szCs w:val="18"/>
                <w:highlight w:val="none"/>
                <w:lang w:val="en-US" w:eastAsia="zh-CN"/>
              </w:rPr>
              <w:t>55</w:t>
            </w:r>
            <w:r>
              <w:rPr>
                <w:rFonts w:hint="eastAsia" w:ascii="宋体" w:hAnsi="宋体" w:eastAsia="宋体" w:cs="宋体"/>
                <w:sz w:val="18"/>
                <w:szCs w:val="18"/>
                <w:highlight w:val="none"/>
              </w:rPr>
              <w:t>%）</w:t>
            </w:r>
          </w:p>
        </w:tc>
        <w:tc>
          <w:tcPr>
            <w:tcW w:w="1087" w:type="dxa"/>
            <w:noWrap w:val="0"/>
            <w:vAlign w:val="center"/>
          </w:tcPr>
          <w:p>
            <w:pPr>
              <w:adjustRightInd w:val="0"/>
              <w:snapToGrid w:val="0"/>
              <w:spacing w:line="32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55</w:t>
            </w:r>
            <w:r>
              <w:rPr>
                <w:rFonts w:hint="eastAsia" w:ascii="宋体" w:hAnsi="宋体" w:eastAsia="宋体" w:cs="宋体"/>
                <w:sz w:val="18"/>
                <w:szCs w:val="18"/>
                <w:highlight w:val="none"/>
              </w:rPr>
              <w:t>分</w:t>
            </w:r>
          </w:p>
        </w:tc>
        <w:tc>
          <w:tcPr>
            <w:tcW w:w="4601" w:type="dxa"/>
            <w:noWrap w:val="0"/>
            <w:vAlign w:val="center"/>
          </w:tcPr>
          <w:p>
            <w:pPr>
              <w:pStyle w:val="22"/>
              <w:snapToGrid w:val="0"/>
              <w:spacing w:line="300" w:lineRule="auto"/>
              <w:rPr>
                <w:rFonts w:hint="eastAsia" w:ascii="宋体" w:hAnsi="宋体" w:eastAsia="宋体" w:cs="宋体"/>
                <w:sz w:val="18"/>
                <w:szCs w:val="18"/>
                <w:highlight w:val="none"/>
              </w:rPr>
            </w:pPr>
            <w:r>
              <w:rPr>
                <w:rFonts w:hint="eastAsia" w:ascii="宋体" w:hAnsi="宋体" w:eastAsia="宋体" w:cs="宋体"/>
                <w:sz w:val="18"/>
                <w:szCs w:val="18"/>
                <w:highlight w:val="none"/>
              </w:rPr>
              <w:t>报价得分：满分</w:t>
            </w:r>
            <w:r>
              <w:rPr>
                <w:rFonts w:hint="eastAsia" w:ascii="宋体" w:hAnsi="宋体" w:eastAsia="宋体" w:cs="宋体"/>
                <w:sz w:val="18"/>
                <w:szCs w:val="18"/>
                <w:highlight w:val="none"/>
                <w:lang w:val="en-US" w:eastAsia="zh-CN"/>
              </w:rPr>
              <w:t>55</w:t>
            </w:r>
            <w:r>
              <w:rPr>
                <w:rFonts w:hint="eastAsia" w:ascii="宋体" w:hAnsi="宋体" w:eastAsia="宋体" w:cs="宋体"/>
                <w:sz w:val="18"/>
                <w:szCs w:val="18"/>
                <w:highlight w:val="none"/>
              </w:rPr>
              <w:t>分；</w:t>
            </w:r>
          </w:p>
          <w:p>
            <w:pPr>
              <w:pStyle w:val="22"/>
              <w:snapToGrid w:val="0"/>
              <w:spacing w:line="300" w:lineRule="auto"/>
              <w:rPr>
                <w:rFonts w:hint="eastAsia" w:ascii="宋体" w:hAnsi="宋体" w:eastAsia="宋体" w:cs="宋体"/>
                <w:sz w:val="18"/>
                <w:szCs w:val="18"/>
                <w:highlight w:val="none"/>
              </w:rPr>
            </w:pPr>
            <w:r>
              <w:rPr>
                <w:rFonts w:hint="eastAsia" w:ascii="宋体" w:hAnsi="宋体" w:eastAsia="宋体" w:cs="宋体"/>
                <w:sz w:val="18"/>
                <w:szCs w:val="18"/>
                <w:highlight w:val="none"/>
              </w:rPr>
              <w:t>1、第一轮报价最低者得5分；</w:t>
            </w:r>
          </w:p>
          <w:p>
            <w:pPr>
              <w:pStyle w:val="22"/>
              <w:snapToGrid w:val="0"/>
              <w:spacing w:line="300" w:lineRule="auto"/>
              <w:rPr>
                <w:rFonts w:hint="eastAsia" w:ascii="宋体" w:hAnsi="宋体" w:eastAsia="宋体" w:cs="宋体"/>
                <w:sz w:val="18"/>
                <w:szCs w:val="18"/>
                <w:highlight w:val="none"/>
              </w:rPr>
            </w:pPr>
            <w:r>
              <w:rPr>
                <w:rFonts w:hint="eastAsia" w:ascii="宋体" w:hAnsi="宋体" w:eastAsia="宋体" w:cs="宋体"/>
                <w:sz w:val="18"/>
                <w:szCs w:val="18"/>
                <w:highlight w:val="none"/>
              </w:rPr>
              <w:t>2、第二轮报价最低有效报价为基准价(第二轮报价不得高于第一轮报价），得</w:t>
            </w:r>
            <w:r>
              <w:rPr>
                <w:rFonts w:hint="eastAsia" w:ascii="宋体" w:hAnsi="宋体" w:eastAsia="宋体" w:cs="宋体"/>
                <w:sz w:val="18"/>
                <w:szCs w:val="18"/>
                <w:highlight w:val="none"/>
                <w:lang w:val="en-US" w:eastAsia="zh-CN"/>
              </w:rPr>
              <w:t>50</w:t>
            </w:r>
            <w:r>
              <w:rPr>
                <w:rFonts w:hint="eastAsia" w:ascii="宋体" w:hAnsi="宋体" w:eastAsia="宋体" w:cs="宋体"/>
                <w:sz w:val="18"/>
                <w:szCs w:val="18"/>
                <w:highlight w:val="none"/>
              </w:rPr>
              <w:t>分；</w:t>
            </w:r>
          </w:p>
          <w:p>
            <w:pPr>
              <w:pStyle w:val="22"/>
              <w:snapToGrid w:val="0"/>
              <w:spacing w:line="300" w:lineRule="auto"/>
              <w:rPr>
                <w:rFonts w:hint="eastAsia" w:ascii="宋体" w:hAnsi="宋体" w:eastAsia="宋体" w:cs="宋体"/>
                <w:sz w:val="18"/>
                <w:szCs w:val="18"/>
                <w:highlight w:val="none"/>
              </w:rPr>
            </w:pPr>
            <w:r>
              <w:rPr>
                <w:rFonts w:hint="eastAsia" w:ascii="宋体" w:hAnsi="宋体" w:eastAsia="宋体" w:cs="宋体"/>
                <w:sz w:val="18"/>
                <w:szCs w:val="18"/>
                <w:highlight w:val="none"/>
              </w:rPr>
              <w:t>3、投标报价高于基准价的，统一按照下列公式计算最终报价得分：</w:t>
            </w:r>
          </w:p>
          <w:p>
            <w:pPr>
              <w:adjustRightInd w:val="0"/>
              <w:snapToGrid w:val="0"/>
              <w:spacing w:line="320" w:lineRule="exact"/>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投标报价得分=（评标基准价/投标报价）*60（得分保留2位小数，第3位四舍五入）。</w:t>
            </w:r>
          </w:p>
        </w:tc>
        <w:tc>
          <w:tcPr>
            <w:tcW w:w="1598" w:type="dxa"/>
            <w:noWrap w:val="0"/>
            <w:vAlign w:val="center"/>
          </w:tcPr>
          <w:p>
            <w:pPr>
              <w:adjustRightInd w:val="0"/>
              <w:snapToGrid w:val="0"/>
              <w:spacing w:line="320" w:lineRule="exact"/>
              <w:rPr>
                <w:rFonts w:hint="eastAsia" w:ascii="宋体" w:hAnsi="宋体" w:eastAsia="宋体" w:cs="宋体"/>
                <w:sz w:val="18"/>
                <w:szCs w:val="18"/>
              </w:rPr>
            </w:pPr>
          </w:p>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共同评分因素</w:t>
            </w:r>
          </w:p>
          <w:p>
            <w:pPr>
              <w:adjustRightInd w:val="0"/>
              <w:snapToGrid w:val="0"/>
              <w:spacing w:line="32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646" w:type="dxa"/>
            <w:noWrap w:val="0"/>
            <w:vAlign w:val="center"/>
          </w:tcPr>
          <w:p>
            <w:pPr>
              <w:spacing w:line="32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w:t>
            </w:r>
          </w:p>
        </w:tc>
        <w:tc>
          <w:tcPr>
            <w:tcW w:w="1048" w:type="dxa"/>
            <w:noWrap w:val="0"/>
            <w:vAlign w:val="center"/>
          </w:tcPr>
          <w:p>
            <w:pPr>
              <w:adjustRightInd w:val="0"/>
              <w:snapToGrid w:val="0"/>
              <w:spacing w:line="32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业绩</w:t>
            </w:r>
          </w:p>
          <w:p>
            <w:pPr>
              <w:adjustRightInd w:val="0"/>
              <w:snapToGrid w:val="0"/>
              <w:spacing w:line="32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w:t>
            </w: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0%）</w:t>
            </w:r>
          </w:p>
        </w:tc>
        <w:tc>
          <w:tcPr>
            <w:tcW w:w="1087" w:type="dxa"/>
            <w:noWrap w:val="0"/>
            <w:vAlign w:val="center"/>
          </w:tcPr>
          <w:p>
            <w:pPr>
              <w:adjustRightInd w:val="0"/>
              <w:snapToGrid w:val="0"/>
              <w:spacing w:line="32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0分</w:t>
            </w:r>
          </w:p>
        </w:tc>
        <w:tc>
          <w:tcPr>
            <w:tcW w:w="4601" w:type="dxa"/>
            <w:noWrap w:val="0"/>
            <w:vAlign w:val="center"/>
          </w:tcPr>
          <w:p>
            <w:pPr>
              <w:adjustRightInd w:val="0"/>
              <w:snapToGrid w:val="0"/>
              <w:spacing w:line="320" w:lineRule="exact"/>
              <w:rPr>
                <w:rFonts w:hint="eastAsia" w:ascii="宋体" w:hAnsi="宋体" w:eastAsia="宋体" w:cs="宋体"/>
                <w:sz w:val="18"/>
                <w:szCs w:val="18"/>
                <w:highlight w:val="none"/>
              </w:rPr>
            </w:pPr>
            <w:r>
              <w:rPr>
                <w:rFonts w:hint="eastAsia" w:ascii="宋体" w:hAnsi="宋体" w:eastAsia="宋体" w:cs="宋体"/>
                <w:sz w:val="18"/>
                <w:szCs w:val="18"/>
                <w:highlight w:val="none"/>
              </w:rPr>
              <w:t>20</w:t>
            </w:r>
            <w:r>
              <w:rPr>
                <w:rFonts w:hint="eastAsia" w:ascii="宋体" w:hAnsi="宋体" w:eastAsia="宋体" w:cs="宋体"/>
                <w:sz w:val="18"/>
                <w:szCs w:val="18"/>
                <w:highlight w:val="none"/>
                <w:lang w:val="en-US" w:eastAsia="zh-CN"/>
              </w:rPr>
              <w:t>19</w:t>
            </w:r>
            <w:r>
              <w:rPr>
                <w:rFonts w:hint="eastAsia" w:ascii="宋体" w:hAnsi="宋体" w:eastAsia="宋体" w:cs="宋体"/>
                <w:sz w:val="18"/>
                <w:szCs w:val="18"/>
                <w:highlight w:val="none"/>
              </w:rPr>
              <w:t>年以来已完成1个污泥处置（处理）类项目业绩，得基本分</w:t>
            </w: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分，每增加1个类似项目业绩加</w:t>
            </w: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分，本项最多得</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分。</w:t>
            </w:r>
          </w:p>
          <w:p>
            <w:pPr>
              <w:adjustRightInd w:val="0"/>
              <w:snapToGrid w:val="0"/>
              <w:spacing w:line="320" w:lineRule="exact"/>
              <w:rPr>
                <w:rFonts w:hint="eastAsia" w:ascii="宋体" w:hAnsi="宋体" w:eastAsia="宋体" w:cs="宋体"/>
                <w:sz w:val="18"/>
                <w:szCs w:val="18"/>
                <w:highlight w:val="none"/>
              </w:rPr>
            </w:pPr>
            <w:r>
              <w:rPr>
                <w:rFonts w:hint="eastAsia" w:ascii="宋体" w:hAnsi="宋体" w:eastAsia="宋体" w:cs="宋体"/>
                <w:sz w:val="18"/>
                <w:szCs w:val="18"/>
                <w:highlight w:val="none"/>
              </w:rPr>
              <w:t>注：提供合同复印件并加盖鲜章。</w:t>
            </w:r>
          </w:p>
        </w:tc>
        <w:tc>
          <w:tcPr>
            <w:tcW w:w="1598" w:type="dxa"/>
            <w:noWrap w:val="0"/>
            <w:vAlign w:val="center"/>
          </w:tcPr>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0" w:hRule="atLeast"/>
          <w:jc w:val="center"/>
        </w:trPr>
        <w:tc>
          <w:tcPr>
            <w:tcW w:w="646" w:type="dxa"/>
            <w:noWrap w:val="0"/>
            <w:vAlign w:val="center"/>
          </w:tcPr>
          <w:p>
            <w:pPr>
              <w:adjustRightInd w:val="0"/>
              <w:snapToGrid w:val="0"/>
              <w:spacing w:line="320" w:lineRule="exact"/>
              <w:jc w:val="center"/>
              <w:rPr>
                <w:rFonts w:hint="eastAsia" w:ascii="宋体" w:hAnsi="宋体" w:eastAsia="宋体" w:cs="宋体"/>
                <w:sz w:val="18"/>
                <w:szCs w:val="18"/>
              </w:rPr>
            </w:pPr>
            <w:r>
              <w:rPr>
                <w:rFonts w:hint="eastAsia" w:ascii="宋体" w:hAnsi="宋体" w:eastAsia="宋体" w:cs="宋体"/>
                <w:sz w:val="18"/>
                <w:szCs w:val="18"/>
              </w:rPr>
              <w:t>3</w:t>
            </w:r>
          </w:p>
        </w:tc>
        <w:tc>
          <w:tcPr>
            <w:tcW w:w="1048" w:type="dxa"/>
            <w:noWrap w:val="0"/>
            <w:vAlign w:val="center"/>
          </w:tcPr>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实施方案</w:t>
            </w:r>
            <w:r>
              <w:rPr>
                <w:rFonts w:hint="eastAsia" w:ascii="宋体" w:hAnsi="宋体" w:eastAsia="宋体" w:cs="宋体"/>
                <w:sz w:val="18"/>
                <w:szCs w:val="18"/>
                <w:highlight w:val="none"/>
              </w:rPr>
              <w:t>（</w:t>
            </w:r>
            <w:r>
              <w:rPr>
                <w:rFonts w:hint="eastAsia" w:ascii="宋体" w:hAnsi="宋体" w:eastAsia="宋体" w:cs="宋体"/>
                <w:sz w:val="18"/>
                <w:szCs w:val="18"/>
                <w:highlight w:val="none"/>
                <w:lang w:val="en-US" w:eastAsia="zh-CN"/>
              </w:rPr>
              <w:t>30</w:t>
            </w:r>
            <w:r>
              <w:rPr>
                <w:rFonts w:hint="eastAsia" w:ascii="宋体" w:hAnsi="宋体" w:eastAsia="宋体" w:cs="宋体"/>
                <w:sz w:val="18"/>
                <w:szCs w:val="18"/>
                <w:highlight w:val="none"/>
              </w:rPr>
              <w:t>%）</w:t>
            </w:r>
          </w:p>
        </w:tc>
        <w:tc>
          <w:tcPr>
            <w:tcW w:w="1087" w:type="dxa"/>
            <w:noWrap w:val="0"/>
            <w:vAlign w:val="center"/>
          </w:tcPr>
          <w:p>
            <w:pPr>
              <w:adjustRightInd w:val="0"/>
              <w:snapToGrid w:val="0"/>
              <w:spacing w:line="320" w:lineRule="exact"/>
              <w:jc w:val="center"/>
              <w:rPr>
                <w:rFonts w:ascii="宋体" w:hAnsi="宋体" w:eastAsia="宋体" w:cs="宋体"/>
                <w:sz w:val="18"/>
                <w:szCs w:val="18"/>
              </w:rPr>
            </w:pPr>
            <w:r>
              <w:rPr>
                <w:rFonts w:hint="eastAsia" w:ascii="宋体" w:hAnsi="宋体" w:eastAsia="宋体" w:cs="宋体"/>
                <w:sz w:val="18"/>
                <w:szCs w:val="18"/>
                <w:highlight w:val="none"/>
                <w:lang w:val="en-US" w:eastAsia="zh-CN"/>
              </w:rPr>
              <w:t>30</w:t>
            </w:r>
            <w:r>
              <w:rPr>
                <w:rFonts w:hint="eastAsia" w:ascii="宋体" w:hAnsi="宋体" w:eastAsia="宋体" w:cs="宋体"/>
                <w:sz w:val="18"/>
                <w:szCs w:val="18"/>
                <w:highlight w:val="none"/>
              </w:rPr>
              <w:t>分</w:t>
            </w:r>
          </w:p>
        </w:tc>
        <w:tc>
          <w:tcPr>
            <w:tcW w:w="4601" w:type="dxa"/>
            <w:noWrap w:val="0"/>
            <w:vAlign w:val="center"/>
          </w:tcPr>
          <w:p>
            <w:pPr>
              <w:rPr>
                <w:rFonts w:ascii="宋体" w:hAnsi="宋体" w:eastAsia="宋体" w:cs="宋体"/>
                <w:sz w:val="18"/>
                <w:szCs w:val="18"/>
                <w:highlight w:val="none"/>
              </w:rPr>
            </w:pPr>
            <w:r>
              <w:rPr>
                <w:rFonts w:hint="eastAsia" w:ascii="宋体" w:hAnsi="宋体" w:eastAsia="宋体" w:cs="宋体"/>
                <w:sz w:val="18"/>
                <w:szCs w:val="18"/>
                <w:highlight w:val="none"/>
                <w:lang w:val="en-US" w:eastAsia="zh-CN"/>
              </w:rPr>
              <w:t>1</w:t>
            </w:r>
            <w:r>
              <w:rPr>
                <w:rFonts w:ascii="宋体" w:hAnsi="宋体" w:eastAsia="宋体" w:cs="宋体"/>
                <w:sz w:val="18"/>
                <w:szCs w:val="18"/>
                <w:highlight w:val="none"/>
              </w:rPr>
              <w:t>、根据各投标人处置方案进行横向对比进行评分【0-</w:t>
            </w:r>
            <w:r>
              <w:rPr>
                <w:rFonts w:hint="eastAsia" w:ascii="宋体" w:hAnsi="宋体" w:eastAsia="宋体" w:cs="宋体"/>
                <w:sz w:val="18"/>
                <w:szCs w:val="18"/>
                <w:highlight w:val="none"/>
                <w:lang w:val="en-US" w:eastAsia="zh-CN"/>
              </w:rPr>
              <w:t>11</w:t>
            </w:r>
            <w:r>
              <w:rPr>
                <w:rFonts w:ascii="宋体" w:hAnsi="宋体" w:eastAsia="宋体" w:cs="宋体"/>
                <w:sz w:val="18"/>
                <w:szCs w:val="18"/>
                <w:highlight w:val="none"/>
              </w:rPr>
              <w:t>】分；</w:t>
            </w:r>
          </w:p>
          <w:p>
            <w:pPr>
              <w:rPr>
                <w:rFonts w:ascii="宋体" w:hAnsi="宋体" w:eastAsia="宋体" w:cs="宋体"/>
                <w:sz w:val="18"/>
                <w:szCs w:val="18"/>
                <w:highlight w:val="none"/>
              </w:rPr>
            </w:pPr>
            <w:r>
              <w:rPr>
                <w:rFonts w:hint="eastAsia" w:ascii="宋体" w:hAnsi="宋体" w:eastAsia="宋体" w:cs="宋体"/>
                <w:sz w:val="18"/>
                <w:szCs w:val="18"/>
                <w:highlight w:val="none"/>
              </w:rPr>
              <w:t>处置方案</w:t>
            </w:r>
            <w:r>
              <w:rPr>
                <w:rFonts w:hint="eastAsia" w:ascii="宋体" w:hAnsi="宋体" w:eastAsia="宋体" w:cs="宋体"/>
                <w:sz w:val="18"/>
                <w:szCs w:val="18"/>
                <w:highlight w:val="none"/>
                <w:lang w:val="en-US" w:eastAsia="zh-CN"/>
              </w:rPr>
              <w:t>优</w:t>
            </w:r>
            <w:r>
              <w:rPr>
                <w:rFonts w:hint="eastAsia" w:ascii="宋体" w:hAnsi="宋体" w:eastAsia="宋体" w:cs="宋体"/>
                <w:sz w:val="18"/>
                <w:szCs w:val="18"/>
                <w:highlight w:val="none"/>
              </w:rPr>
              <w:t>的得</w:t>
            </w:r>
            <w:r>
              <w:rPr>
                <w:rFonts w:hint="eastAsia" w:ascii="宋体" w:hAnsi="宋体" w:eastAsia="宋体" w:cs="宋体"/>
                <w:sz w:val="18"/>
                <w:szCs w:val="18"/>
                <w:highlight w:val="none"/>
                <w:lang w:val="en-US" w:eastAsia="zh-CN"/>
              </w:rPr>
              <w:t>8-11</w:t>
            </w:r>
            <w:r>
              <w:rPr>
                <w:rFonts w:ascii="宋体" w:hAnsi="宋体" w:eastAsia="宋体" w:cs="宋体"/>
                <w:sz w:val="18"/>
                <w:szCs w:val="18"/>
                <w:highlight w:val="none"/>
              </w:rPr>
              <w:t xml:space="preserve">分； </w:t>
            </w:r>
          </w:p>
          <w:p>
            <w:pPr>
              <w:rPr>
                <w:rFonts w:ascii="宋体" w:hAnsi="宋体" w:eastAsia="宋体" w:cs="宋体"/>
                <w:sz w:val="18"/>
                <w:szCs w:val="18"/>
                <w:highlight w:val="none"/>
              </w:rPr>
            </w:pPr>
            <w:r>
              <w:rPr>
                <w:rFonts w:hint="eastAsia" w:ascii="宋体" w:hAnsi="宋体" w:eastAsia="宋体" w:cs="宋体"/>
                <w:sz w:val="18"/>
                <w:szCs w:val="18"/>
                <w:highlight w:val="none"/>
              </w:rPr>
              <w:t>处置方案</w:t>
            </w:r>
            <w:r>
              <w:rPr>
                <w:rFonts w:hint="eastAsia" w:ascii="宋体" w:hAnsi="宋体" w:eastAsia="宋体" w:cs="宋体"/>
                <w:sz w:val="18"/>
                <w:szCs w:val="18"/>
                <w:highlight w:val="none"/>
                <w:lang w:val="en-US" w:eastAsia="zh-CN"/>
              </w:rPr>
              <w:t>良好</w:t>
            </w:r>
            <w:r>
              <w:rPr>
                <w:rFonts w:hint="eastAsia" w:ascii="宋体" w:hAnsi="宋体" w:eastAsia="宋体" w:cs="宋体"/>
                <w:sz w:val="18"/>
                <w:szCs w:val="18"/>
                <w:highlight w:val="none"/>
              </w:rPr>
              <w:t>的得</w:t>
            </w:r>
            <w:r>
              <w:rPr>
                <w:rFonts w:hint="eastAsia" w:ascii="宋体" w:hAnsi="宋体" w:eastAsia="宋体" w:cs="宋体"/>
                <w:sz w:val="18"/>
                <w:szCs w:val="18"/>
                <w:highlight w:val="none"/>
                <w:lang w:val="en-US" w:eastAsia="zh-CN"/>
              </w:rPr>
              <w:t>4-7</w:t>
            </w:r>
            <w:r>
              <w:rPr>
                <w:rFonts w:ascii="宋体" w:hAnsi="宋体" w:eastAsia="宋体" w:cs="宋体"/>
                <w:sz w:val="18"/>
                <w:szCs w:val="18"/>
                <w:highlight w:val="none"/>
              </w:rPr>
              <w:t xml:space="preserve">分； </w:t>
            </w:r>
          </w:p>
          <w:p>
            <w:pP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处置方案一般的得1-3分；</w:t>
            </w:r>
          </w:p>
          <w:p>
            <w:pPr>
              <w:rPr>
                <w:rFonts w:ascii="宋体" w:hAnsi="宋体" w:eastAsia="宋体" w:cs="宋体"/>
                <w:sz w:val="18"/>
                <w:szCs w:val="18"/>
                <w:highlight w:val="none"/>
              </w:rPr>
            </w:pPr>
            <w:r>
              <w:rPr>
                <w:rFonts w:hint="eastAsia" w:ascii="宋体" w:hAnsi="宋体" w:eastAsia="宋体" w:cs="宋体"/>
                <w:sz w:val="18"/>
                <w:szCs w:val="18"/>
                <w:highlight w:val="none"/>
                <w:lang w:val="en-US" w:eastAsia="zh-CN"/>
              </w:rPr>
              <w:t>2</w:t>
            </w:r>
            <w:r>
              <w:rPr>
                <w:rFonts w:ascii="宋体" w:hAnsi="宋体" w:eastAsia="宋体" w:cs="宋体"/>
                <w:sz w:val="18"/>
                <w:szCs w:val="18"/>
                <w:highlight w:val="none"/>
              </w:rPr>
              <w:t>、投标人提供污泥处置所需</w:t>
            </w:r>
            <w:r>
              <w:rPr>
                <w:rFonts w:hint="eastAsia" w:ascii="宋体" w:hAnsi="宋体" w:eastAsia="宋体" w:cs="宋体"/>
                <w:sz w:val="18"/>
                <w:szCs w:val="18"/>
                <w:highlight w:val="none"/>
              </w:rPr>
              <w:t>设施</w:t>
            </w:r>
            <w:r>
              <w:rPr>
                <w:rFonts w:ascii="宋体" w:hAnsi="宋体" w:eastAsia="宋体" w:cs="宋体"/>
                <w:sz w:val="18"/>
                <w:szCs w:val="18"/>
                <w:highlight w:val="none"/>
              </w:rPr>
              <w:t>的证明材料；（提供</w:t>
            </w:r>
            <w:r>
              <w:rPr>
                <w:rFonts w:hint="eastAsia" w:ascii="宋体" w:hAnsi="宋体" w:eastAsia="宋体" w:cs="宋体"/>
                <w:sz w:val="18"/>
                <w:szCs w:val="18"/>
                <w:highlight w:val="none"/>
              </w:rPr>
              <w:t>设施</w:t>
            </w:r>
            <w:r>
              <w:rPr>
                <w:rFonts w:ascii="宋体" w:hAnsi="宋体" w:eastAsia="宋体" w:cs="宋体"/>
                <w:sz w:val="18"/>
                <w:szCs w:val="18"/>
                <w:highlight w:val="none"/>
              </w:rPr>
              <w:t>汇总表及相应</w:t>
            </w:r>
            <w:r>
              <w:rPr>
                <w:rFonts w:hint="eastAsia" w:ascii="宋体" w:hAnsi="宋体" w:eastAsia="宋体" w:cs="宋体"/>
                <w:sz w:val="18"/>
                <w:szCs w:val="18"/>
                <w:highlight w:val="none"/>
              </w:rPr>
              <w:t>设施</w:t>
            </w:r>
            <w:r>
              <w:rPr>
                <w:rFonts w:ascii="宋体" w:hAnsi="宋体" w:eastAsia="宋体" w:cs="宋体"/>
                <w:sz w:val="18"/>
                <w:szCs w:val="18"/>
                <w:highlight w:val="none"/>
              </w:rPr>
              <w:t>图片）【0-</w:t>
            </w:r>
            <w:r>
              <w:rPr>
                <w:rFonts w:hint="eastAsia" w:ascii="宋体" w:hAnsi="宋体" w:eastAsia="宋体" w:cs="宋体"/>
                <w:sz w:val="18"/>
                <w:szCs w:val="18"/>
                <w:highlight w:val="none"/>
                <w:lang w:val="en-US" w:eastAsia="zh-CN"/>
              </w:rPr>
              <w:t>5</w:t>
            </w:r>
            <w:r>
              <w:rPr>
                <w:rFonts w:ascii="宋体" w:hAnsi="宋体" w:eastAsia="宋体" w:cs="宋体"/>
                <w:sz w:val="18"/>
                <w:szCs w:val="18"/>
                <w:highlight w:val="none"/>
              </w:rPr>
              <w:t>】分</w:t>
            </w:r>
            <w:r>
              <w:rPr>
                <w:rFonts w:hint="eastAsia" w:ascii="宋体" w:hAnsi="宋体" w:eastAsia="宋体" w:cs="宋体"/>
                <w:sz w:val="18"/>
                <w:szCs w:val="18"/>
                <w:highlight w:val="none"/>
                <w:lang w:val="en-US" w:eastAsia="zh-CN"/>
              </w:rPr>
              <w:t>设施齐全先进得5分，良好得2-3分，一般得1分。</w:t>
            </w:r>
          </w:p>
          <w:p>
            <w:pPr>
              <w:rPr>
                <w:rFonts w:ascii="宋体" w:hAnsi="宋体" w:eastAsia="宋体" w:cs="宋体"/>
                <w:sz w:val="18"/>
                <w:szCs w:val="18"/>
                <w:highlight w:val="none"/>
              </w:rPr>
            </w:pPr>
            <w:r>
              <w:rPr>
                <w:rFonts w:hint="eastAsia" w:ascii="宋体" w:hAnsi="宋体" w:eastAsia="宋体" w:cs="宋体"/>
                <w:sz w:val="18"/>
                <w:szCs w:val="18"/>
                <w:highlight w:val="none"/>
                <w:lang w:val="en-US" w:eastAsia="zh-CN"/>
              </w:rPr>
              <w:t>3</w:t>
            </w:r>
            <w:r>
              <w:rPr>
                <w:rFonts w:ascii="宋体" w:hAnsi="宋体" w:eastAsia="宋体" w:cs="宋体"/>
                <w:sz w:val="18"/>
                <w:szCs w:val="18"/>
                <w:highlight w:val="none"/>
              </w:rPr>
              <w:t>、应严格保证按照污泥处置规范要求开展污泥处置工作，保证污泥的无害化、减量化、资源化处理和污泥处置设施、工艺正常运行。（提供承诺函并加盖公章）【</w:t>
            </w:r>
            <w:r>
              <w:rPr>
                <w:rFonts w:hint="eastAsia" w:ascii="宋体" w:hAnsi="宋体" w:eastAsia="宋体" w:cs="宋体"/>
                <w:sz w:val="18"/>
                <w:szCs w:val="18"/>
                <w:highlight w:val="none"/>
                <w:lang w:val="en-US" w:eastAsia="zh-CN"/>
              </w:rPr>
              <w:t>3</w:t>
            </w:r>
            <w:r>
              <w:rPr>
                <w:rFonts w:ascii="宋体" w:hAnsi="宋体" w:eastAsia="宋体" w:cs="宋体"/>
                <w:sz w:val="18"/>
                <w:szCs w:val="18"/>
                <w:highlight w:val="none"/>
              </w:rPr>
              <w:t>】分</w:t>
            </w:r>
          </w:p>
          <w:p>
            <w:pPr>
              <w:rPr>
                <w:rFonts w:ascii="宋体" w:hAnsi="宋体" w:eastAsia="宋体" w:cs="宋体"/>
                <w:sz w:val="18"/>
                <w:szCs w:val="18"/>
                <w:highlight w:val="none"/>
              </w:rPr>
            </w:pPr>
            <w:r>
              <w:rPr>
                <w:rFonts w:hint="eastAsia" w:ascii="宋体" w:hAnsi="宋体" w:eastAsia="宋体" w:cs="宋体"/>
                <w:sz w:val="18"/>
                <w:szCs w:val="18"/>
                <w:highlight w:val="none"/>
                <w:lang w:val="en-US" w:eastAsia="zh-CN"/>
              </w:rPr>
              <w:t>4</w:t>
            </w:r>
            <w:r>
              <w:rPr>
                <w:rFonts w:ascii="宋体" w:hAnsi="宋体" w:eastAsia="宋体" w:cs="宋体"/>
                <w:sz w:val="18"/>
                <w:szCs w:val="18"/>
                <w:highlight w:val="none"/>
              </w:rPr>
              <w:t>、根据各投标人服务及保障措施横向对比进行评分【0-</w:t>
            </w:r>
            <w:r>
              <w:rPr>
                <w:rFonts w:hint="eastAsia" w:ascii="宋体" w:hAnsi="宋体" w:eastAsia="宋体" w:cs="宋体"/>
                <w:sz w:val="18"/>
                <w:szCs w:val="18"/>
                <w:highlight w:val="none"/>
                <w:lang w:val="en-US" w:eastAsia="zh-CN"/>
              </w:rPr>
              <w:t>11</w:t>
            </w:r>
            <w:r>
              <w:rPr>
                <w:rFonts w:ascii="宋体" w:hAnsi="宋体" w:eastAsia="宋体" w:cs="宋体"/>
                <w:sz w:val="18"/>
                <w:szCs w:val="18"/>
                <w:highlight w:val="none"/>
              </w:rPr>
              <w:t>】分；</w:t>
            </w:r>
          </w:p>
          <w:p>
            <w:pPr>
              <w:rPr>
                <w:rFonts w:ascii="宋体" w:hAnsi="宋体" w:eastAsia="宋体" w:cs="宋体"/>
                <w:sz w:val="18"/>
                <w:szCs w:val="18"/>
                <w:highlight w:val="none"/>
              </w:rPr>
            </w:pPr>
            <w:r>
              <w:rPr>
                <w:rFonts w:hint="eastAsia" w:ascii="宋体" w:hAnsi="宋体" w:eastAsia="宋体" w:cs="宋体"/>
                <w:sz w:val="18"/>
                <w:szCs w:val="18"/>
                <w:highlight w:val="none"/>
              </w:rPr>
              <w:t>服务方案及保障措施</w:t>
            </w:r>
            <w:r>
              <w:rPr>
                <w:rFonts w:hint="eastAsia" w:ascii="宋体" w:hAnsi="宋体" w:eastAsia="宋体" w:cs="宋体"/>
                <w:sz w:val="18"/>
                <w:szCs w:val="18"/>
                <w:highlight w:val="none"/>
                <w:lang w:val="en-US" w:eastAsia="zh-CN"/>
              </w:rPr>
              <w:t>优</w:t>
            </w:r>
            <w:r>
              <w:rPr>
                <w:rFonts w:hint="eastAsia" w:ascii="宋体" w:hAnsi="宋体" w:eastAsia="宋体" w:cs="宋体"/>
                <w:sz w:val="18"/>
                <w:szCs w:val="18"/>
                <w:highlight w:val="none"/>
              </w:rPr>
              <w:t>的得</w:t>
            </w:r>
            <w:r>
              <w:rPr>
                <w:rFonts w:hint="eastAsia" w:ascii="宋体" w:hAnsi="宋体" w:eastAsia="宋体" w:cs="宋体"/>
                <w:sz w:val="18"/>
                <w:szCs w:val="18"/>
                <w:highlight w:val="none"/>
                <w:lang w:val="en-US" w:eastAsia="zh-CN"/>
              </w:rPr>
              <w:t>8-11</w:t>
            </w:r>
            <w:r>
              <w:rPr>
                <w:rFonts w:ascii="宋体" w:hAnsi="宋体" w:eastAsia="宋体" w:cs="宋体"/>
                <w:sz w:val="18"/>
                <w:szCs w:val="18"/>
                <w:highlight w:val="none"/>
              </w:rPr>
              <w:t>分；</w:t>
            </w:r>
          </w:p>
          <w:p>
            <w:pPr>
              <w:rPr>
                <w:rFonts w:ascii="宋体" w:hAnsi="宋体" w:eastAsia="宋体" w:cs="宋体"/>
                <w:sz w:val="18"/>
                <w:szCs w:val="18"/>
                <w:highlight w:val="none"/>
              </w:rPr>
            </w:pPr>
            <w:r>
              <w:rPr>
                <w:rFonts w:hint="eastAsia" w:ascii="宋体" w:hAnsi="宋体" w:eastAsia="宋体" w:cs="宋体"/>
                <w:sz w:val="18"/>
                <w:szCs w:val="18"/>
                <w:highlight w:val="none"/>
              </w:rPr>
              <w:t>服务方案及保障措施</w:t>
            </w:r>
            <w:r>
              <w:rPr>
                <w:rFonts w:hint="eastAsia" w:ascii="宋体" w:hAnsi="宋体" w:eastAsia="宋体" w:cs="宋体"/>
                <w:sz w:val="18"/>
                <w:szCs w:val="18"/>
                <w:highlight w:val="none"/>
                <w:lang w:val="en-US" w:eastAsia="zh-CN"/>
              </w:rPr>
              <w:t>良好</w:t>
            </w:r>
            <w:r>
              <w:rPr>
                <w:rFonts w:hint="eastAsia" w:ascii="宋体" w:hAnsi="宋体" w:eastAsia="宋体" w:cs="宋体"/>
                <w:sz w:val="18"/>
                <w:szCs w:val="18"/>
                <w:highlight w:val="none"/>
              </w:rPr>
              <w:t>的得</w:t>
            </w:r>
            <w:r>
              <w:rPr>
                <w:rFonts w:hint="eastAsia" w:ascii="宋体" w:hAnsi="宋体" w:eastAsia="宋体" w:cs="宋体"/>
                <w:sz w:val="18"/>
                <w:szCs w:val="18"/>
                <w:highlight w:val="none"/>
                <w:lang w:val="en-US" w:eastAsia="zh-CN"/>
              </w:rPr>
              <w:t>4-7</w:t>
            </w:r>
            <w:r>
              <w:rPr>
                <w:rFonts w:ascii="宋体" w:hAnsi="宋体" w:eastAsia="宋体" w:cs="宋体"/>
                <w:sz w:val="18"/>
                <w:szCs w:val="18"/>
                <w:highlight w:val="none"/>
              </w:rPr>
              <w:t>分；</w:t>
            </w:r>
          </w:p>
          <w:p>
            <w:pPr>
              <w:rPr>
                <w:rFonts w:hint="eastAsia" w:ascii="宋体" w:hAnsi="宋体" w:eastAsia="宋体" w:cs="宋体"/>
                <w:sz w:val="18"/>
                <w:szCs w:val="18"/>
              </w:rPr>
            </w:pPr>
            <w:r>
              <w:rPr>
                <w:rFonts w:hint="eastAsia" w:ascii="宋体" w:hAnsi="宋体" w:eastAsia="宋体" w:cs="宋体"/>
                <w:sz w:val="18"/>
                <w:szCs w:val="18"/>
                <w:highlight w:val="none"/>
              </w:rPr>
              <w:t>服务方案及保障措施</w:t>
            </w:r>
            <w:r>
              <w:rPr>
                <w:rFonts w:hint="eastAsia" w:ascii="宋体" w:hAnsi="宋体" w:eastAsia="宋体" w:cs="宋体"/>
                <w:sz w:val="18"/>
                <w:szCs w:val="18"/>
                <w:highlight w:val="none"/>
                <w:lang w:val="en-US" w:eastAsia="zh-CN"/>
              </w:rPr>
              <w:t>良好</w:t>
            </w:r>
            <w:r>
              <w:rPr>
                <w:rFonts w:hint="eastAsia" w:ascii="宋体" w:hAnsi="宋体" w:eastAsia="宋体" w:cs="宋体"/>
                <w:sz w:val="18"/>
                <w:szCs w:val="18"/>
                <w:highlight w:val="none"/>
              </w:rPr>
              <w:t>的得</w:t>
            </w:r>
            <w:r>
              <w:rPr>
                <w:rFonts w:hint="eastAsia" w:ascii="宋体" w:hAnsi="宋体" w:eastAsia="宋体" w:cs="宋体"/>
                <w:sz w:val="18"/>
                <w:szCs w:val="18"/>
                <w:highlight w:val="none"/>
                <w:lang w:val="en-US" w:eastAsia="zh-CN"/>
              </w:rPr>
              <w:t>1-3</w:t>
            </w:r>
            <w:r>
              <w:rPr>
                <w:rFonts w:ascii="宋体" w:hAnsi="宋体" w:eastAsia="宋体" w:cs="宋体"/>
                <w:sz w:val="18"/>
                <w:szCs w:val="18"/>
                <w:highlight w:val="none"/>
              </w:rPr>
              <w:t>分。</w:t>
            </w:r>
          </w:p>
        </w:tc>
        <w:tc>
          <w:tcPr>
            <w:tcW w:w="1598" w:type="dxa"/>
            <w:noWrap w:val="0"/>
            <w:vAlign w:val="center"/>
          </w:tcPr>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646" w:type="dxa"/>
            <w:noWrap w:val="0"/>
            <w:vAlign w:val="center"/>
          </w:tcPr>
          <w:p>
            <w:pPr>
              <w:adjustRightInd w:val="0"/>
              <w:snapToGrid w:val="0"/>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p>
        </w:tc>
        <w:tc>
          <w:tcPr>
            <w:tcW w:w="1048" w:type="dxa"/>
            <w:noWrap w:val="0"/>
            <w:vAlign w:val="center"/>
          </w:tcPr>
          <w:p>
            <w:pPr>
              <w:adjustRightInd w:val="0"/>
              <w:snapToGrid w:val="0"/>
              <w:spacing w:line="320" w:lineRule="exact"/>
              <w:ind w:left="2" w:leftChars="1"/>
              <w:rPr>
                <w:rFonts w:hint="eastAsia" w:ascii="宋体" w:hAnsi="宋体" w:eastAsia="宋体" w:cs="宋体"/>
                <w:sz w:val="18"/>
                <w:szCs w:val="18"/>
              </w:rPr>
            </w:pPr>
            <w:r>
              <w:rPr>
                <w:rFonts w:hint="eastAsia" w:ascii="宋体" w:hAnsi="宋体" w:eastAsia="宋体" w:cs="宋体"/>
                <w:sz w:val="18"/>
                <w:szCs w:val="18"/>
              </w:rPr>
              <w:t>人员资质（</w:t>
            </w:r>
            <w:r>
              <w:rPr>
                <w:rFonts w:hint="eastAsia" w:ascii="宋体" w:hAnsi="宋体" w:eastAsia="宋体" w:cs="宋体"/>
                <w:sz w:val="18"/>
                <w:szCs w:val="18"/>
                <w:lang w:val="en-US" w:eastAsia="zh-CN"/>
              </w:rPr>
              <w:t>4</w:t>
            </w:r>
            <w:r>
              <w:rPr>
                <w:rFonts w:hint="eastAsia" w:ascii="宋体" w:hAnsi="宋体" w:eastAsia="宋体" w:cs="宋体"/>
                <w:sz w:val="18"/>
                <w:szCs w:val="18"/>
              </w:rPr>
              <w:t>%）</w:t>
            </w:r>
          </w:p>
        </w:tc>
        <w:tc>
          <w:tcPr>
            <w:tcW w:w="1087" w:type="dxa"/>
            <w:noWrap w:val="0"/>
            <w:vAlign w:val="center"/>
          </w:tcPr>
          <w:p>
            <w:pPr>
              <w:adjustRightInd w:val="0"/>
              <w:snapToGrid w:val="0"/>
              <w:spacing w:line="320" w:lineRule="exact"/>
              <w:jc w:val="center"/>
              <w:rPr>
                <w:rFonts w:ascii="宋体" w:hAnsi="宋体" w:eastAsia="宋体" w:cs="宋体"/>
                <w:sz w:val="18"/>
                <w:szCs w:val="18"/>
              </w:rPr>
            </w:pPr>
            <w:r>
              <w:rPr>
                <w:rFonts w:hint="eastAsia" w:ascii="宋体" w:hAnsi="宋体" w:eastAsia="宋体" w:cs="宋体"/>
                <w:sz w:val="18"/>
                <w:szCs w:val="18"/>
                <w:lang w:val="en-US" w:eastAsia="zh-CN"/>
              </w:rPr>
              <w:t>4</w:t>
            </w:r>
            <w:r>
              <w:rPr>
                <w:rFonts w:hint="eastAsia" w:ascii="宋体" w:hAnsi="宋体" w:eastAsia="宋体" w:cs="宋体"/>
                <w:sz w:val="18"/>
                <w:szCs w:val="18"/>
              </w:rPr>
              <w:t>分</w:t>
            </w:r>
          </w:p>
        </w:tc>
        <w:tc>
          <w:tcPr>
            <w:tcW w:w="4601" w:type="dxa"/>
            <w:noWrap w:val="0"/>
            <w:vAlign w:val="center"/>
          </w:tcPr>
          <w:p>
            <w:pPr>
              <w:adjustRightInd w:val="0"/>
              <w:snapToGrid w:val="0"/>
              <w:spacing w:line="320" w:lineRule="exact"/>
              <w:rPr>
                <w:rFonts w:hint="eastAsia" w:ascii="宋体" w:hAnsi="宋体" w:eastAsia="宋体" w:cs="宋体"/>
                <w:sz w:val="18"/>
                <w:szCs w:val="18"/>
                <w:highlight w:val="none"/>
              </w:rPr>
            </w:pPr>
            <w:r>
              <w:rPr>
                <w:rFonts w:hint="eastAsia" w:ascii="宋体" w:hAnsi="宋体" w:eastAsia="宋体" w:cs="宋体"/>
                <w:sz w:val="18"/>
                <w:szCs w:val="18"/>
                <w:highlight w:val="none"/>
              </w:rPr>
              <w:t>1、具有环保类中级技术职称的得4分（提供职称证书及社保缴纳证明材料）；</w:t>
            </w:r>
          </w:p>
          <w:p>
            <w:pPr>
              <w:adjustRightInd w:val="0"/>
              <w:snapToGrid w:val="0"/>
              <w:spacing w:line="320" w:lineRule="exact"/>
              <w:rPr>
                <w:rFonts w:hint="eastAsia" w:ascii="宋体" w:hAnsi="宋体" w:eastAsia="宋体" w:cs="宋体"/>
                <w:sz w:val="18"/>
                <w:szCs w:val="18"/>
              </w:rPr>
            </w:pPr>
          </w:p>
        </w:tc>
        <w:tc>
          <w:tcPr>
            <w:tcW w:w="1598" w:type="dxa"/>
            <w:noWrap w:val="0"/>
            <w:vAlign w:val="center"/>
          </w:tcPr>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646" w:type="dxa"/>
            <w:noWrap w:val="0"/>
            <w:vAlign w:val="center"/>
          </w:tcPr>
          <w:p>
            <w:pPr>
              <w:adjustRightInd w:val="0"/>
              <w:snapToGrid w:val="0"/>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5</w:t>
            </w:r>
          </w:p>
        </w:tc>
        <w:tc>
          <w:tcPr>
            <w:tcW w:w="1048" w:type="dxa"/>
            <w:noWrap w:val="0"/>
            <w:vAlign w:val="center"/>
          </w:tcPr>
          <w:p>
            <w:pPr>
              <w:adjustRightInd w:val="0"/>
              <w:snapToGrid w:val="0"/>
              <w:spacing w:line="320" w:lineRule="exact"/>
              <w:ind w:left="2" w:leftChars="1"/>
              <w:rPr>
                <w:rFonts w:hint="eastAsia" w:ascii="宋体" w:hAnsi="宋体" w:eastAsia="宋体" w:cs="宋体"/>
                <w:sz w:val="18"/>
                <w:szCs w:val="18"/>
              </w:rPr>
            </w:pPr>
            <w:r>
              <w:rPr>
                <w:rFonts w:hint="eastAsia" w:ascii="宋体" w:hAnsi="宋体" w:eastAsia="宋体" w:cs="宋体"/>
                <w:sz w:val="18"/>
                <w:szCs w:val="18"/>
              </w:rPr>
              <w:t>响应文件的规范性（</w:t>
            </w:r>
            <w:r>
              <w:rPr>
                <w:rFonts w:hint="eastAsia" w:ascii="宋体" w:hAnsi="宋体" w:eastAsia="宋体" w:cs="宋体"/>
                <w:sz w:val="18"/>
                <w:szCs w:val="18"/>
                <w:lang w:val="en-US" w:eastAsia="zh-CN"/>
              </w:rPr>
              <w:t>1</w:t>
            </w:r>
            <w:r>
              <w:rPr>
                <w:rFonts w:hint="eastAsia" w:ascii="宋体" w:hAnsi="宋体" w:eastAsia="宋体" w:cs="宋体"/>
                <w:sz w:val="18"/>
                <w:szCs w:val="18"/>
              </w:rPr>
              <w:t>%）</w:t>
            </w:r>
          </w:p>
        </w:tc>
        <w:tc>
          <w:tcPr>
            <w:tcW w:w="1087" w:type="dxa"/>
            <w:noWrap w:val="0"/>
            <w:vAlign w:val="center"/>
          </w:tcPr>
          <w:p>
            <w:pPr>
              <w:adjustRightInd w:val="0"/>
              <w:snapToGrid w:val="0"/>
              <w:spacing w:line="32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分</w:t>
            </w:r>
          </w:p>
        </w:tc>
        <w:tc>
          <w:tcPr>
            <w:tcW w:w="4601" w:type="dxa"/>
            <w:noWrap w:val="0"/>
            <w:vAlign w:val="center"/>
          </w:tcPr>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响应文件制作规范，没有细微偏差情形的得1分；有一项细微偏差扣0.5分，直至该项分值扣完为止。</w:t>
            </w:r>
          </w:p>
        </w:tc>
        <w:tc>
          <w:tcPr>
            <w:tcW w:w="1598" w:type="dxa"/>
            <w:noWrap w:val="0"/>
            <w:vAlign w:val="center"/>
          </w:tcPr>
          <w:p>
            <w:pPr>
              <w:adjustRightInd w:val="0"/>
              <w:snapToGrid w:val="0"/>
              <w:spacing w:line="320" w:lineRule="exact"/>
              <w:rPr>
                <w:rFonts w:hint="eastAsia" w:ascii="宋体" w:hAnsi="宋体" w:eastAsia="宋体" w:cs="宋体"/>
                <w:sz w:val="18"/>
                <w:szCs w:val="18"/>
              </w:rPr>
            </w:pPr>
            <w:r>
              <w:rPr>
                <w:rFonts w:hint="eastAsia" w:ascii="宋体" w:hAnsi="宋体" w:eastAsia="宋体" w:cs="宋体"/>
                <w:sz w:val="18"/>
                <w:szCs w:val="18"/>
              </w:rPr>
              <w:t>共同评分因素</w:t>
            </w:r>
          </w:p>
        </w:tc>
      </w:tr>
    </w:tbl>
    <w:p>
      <w:pPr>
        <w:spacing w:line="400" w:lineRule="exact"/>
        <w:rPr>
          <w:rFonts w:hint="eastAsia" w:ascii="仿宋_GB2312" w:hAnsi="仿宋" w:eastAsia="仿宋_GB2312"/>
          <w:color w:val="000000"/>
          <w:sz w:val="28"/>
          <w:szCs w:val="28"/>
        </w:rPr>
      </w:pPr>
      <w:r>
        <w:rPr>
          <w:rFonts w:hint="eastAsia" w:ascii="宋体" w:hAnsi="宋体" w:eastAsia="宋体" w:cs="宋体"/>
          <w:b/>
          <w:bCs/>
          <w:sz w:val="24"/>
        </w:rPr>
        <w:t>注：评分的取值按四舍五入法，保留小数点后两位。</w:t>
      </w:r>
    </w:p>
    <w:p>
      <w:pPr>
        <w:pStyle w:val="4"/>
        <w:tabs>
          <w:tab w:val="left" w:pos="2940"/>
        </w:tabs>
        <w:rPr>
          <w:rFonts w:hint="eastAsia"/>
          <w:color w:val="000000"/>
        </w:rPr>
      </w:pPr>
      <w:bookmarkStart w:id="18" w:name="_Toc18609"/>
      <w:bookmarkStart w:id="19" w:name="_Toc23948"/>
      <w:r>
        <w:rPr>
          <w:rFonts w:hint="eastAsia"/>
          <w:color w:val="000000"/>
        </w:rPr>
        <w:t>六、中选通知</w:t>
      </w:r>
      <w:bookmarkEnd w:id="18"/>
      <w:bookmarkEnd w:id="19"/>
    </w:p>
    <w:p>
      <w:pPr>
        <w:spacing w:line="360" w:lineRule="auto"/>
        <w:ind w:firstLine="560" w:firstLineChars="200"/>
        <w:rPr>
          <w:rFonts w:hint="eastAsia" w:ascii="仿宋_GB2312" w:hAnsi="仿宋" w:eastAsia="仿宋_GB2312"/>
          <w:bCs/>
          <w:color w:val="000000"/>
          <w:sz w:val="28"/>
          <w:szCs w:val="28"/>
        </w:rPr>
      </w:pPr>
      <w:r>
        <w:rPr>
          <w:rFonts w:hint="eastAsia" w:ascii="仿宋_GB2312" w:hAnsi="仿宋" w:eastAsia="仿宋_GB2312"/>
          <w:color w:val="000000"/>
          <w:sz w:val="28"/>
          <w:szCs w:val="28"/>
        </w:rPr>
        <w:t>（一）谈判结</w:t>
      </w:r>
      <w:r>
        <w:rPr>
          <w:rFonts w:hint="eastAsia" w:ascii="仿宋_GB2312" w:hAnsi="仿宋" w:eastAsia="仿宋_GB2312"/>
          <w:bCs/>
          <w:color w:val="000000"/>
          <w:sz w:val="28"/>
          <w:szCs w:val="28"/>
        </w:rPr>
        <w:t>束2个工作日内采购人将以书面形式向中选人发出《中选通知书》，《中选通知书》一经发出即产生法律效力。</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（二）中选通知书将作为签订合同的依据。</w:t>
      </w:r>
    </w:p>
    <w:p>
      <w:pPr>
        <w:pStyle w:val="4"/>
        <w:tabs>
          <w:tab w:val="left" w:pos="2875"/>
        </w:tabs>
        <w:rPr>
          <w:rFonts w:hint="eastAsia"/>
          <w:color w:val="000000"/>
        </w:rPr>
      </w:pPr>
      <w:bookmarkStart w:id="20" w:name="_Toc1082"/>
      <w:bookmarkStart w:id="21" w:name="_Toc26217"/>
      <w:bookmarkStart w:id="22" w:name="_Toc20869"/>
      <w:r>
        <w:rPr>
          <w:rFonts w:hint="eastAsia"/>
          <w:color w:val="000000"/>
        </w:rPr>
        <w:t>七、签订合同</w:t>
      </w:r>
      <w:bookmarkEnd w:id="20"/>
      <w:bookmarkEnd w:id="21"/>
      <w:bookmarkEnd w:id="22"/>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（一）中选人的最终报价为本项目成交价，即为合同价。</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（二）中选人在收到《中选通知书》后7个工作日内按《中选通知书》指定的时间地点与采购人签订合同。</w:t>
      </w:r>
    </w:p>
    <w:p>
      <w:pPr>
        <w:pStyle w:val="25"/>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（三）竞争性谈判文件、中选人的谈判响应文件及其最终承诺等，均为签订合同的依据。</w:t>
      </w:r>
    </w:p>
    <w:p>
      <w:pPr>
        <w:pStyle w:val="25"/>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（四）如中选人未按本文件要求与采购人签订合同的，采购人有权要求中选人承担任；如本次采购设置有响应保证金的，采购人有权予以没收。</w:t>
      </w:r>
    </w:p>
    <w:p>
      <w:pPr>
        <w:pStyle w:val="4"/>
        <w:tabs>
          <w:tab w:val="left" w:pos="2875"/>
        </w:tabs>
        <w:rPr>
          <w:rFonts w:hint="eastAsia" w:ascii="仿宋_GB2312" w:hAnsi="仿宋" w:eastAsia="仿宋_GB2312" w:cs="Times New Roman"/>
          <w:color w:val="000000"/>
          <w:sz w:val="28"/>
          <w:szCs w:val="28"/>
        </w:rPr>
      </w:pPr>
      <w:bookmarkStart w:id="23" w:name="_Toc5333"/>
      <w:bookmarkStart w:id="24" w:name="_Toc30414"/>
      <w:r>
        <w:rPr>
          <w:rFonts w:hint="eastAsia"/>
          <w:color w:val="000000"/>
        </w:rPr>
        <w:t>八、价款支付</w:t>
      </w:r>
      <w:bookmarkEnd w:id="23"/>
      <w:bookmarkEnd w:id="24"/>
    </w:p>
    <w:p>
      <w:pPr>
        <w:pStyle w:val="25"/>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s="Times New Roman"/>
          <w:color w:val="000000"/>
          <w:sz w:val="28"/>
          <w:szCs w:val="28"/>
        </w:rPr>
        <w:t>双方选择分期付款方式，甲乙双方以共同确认的磅单数量乘以单价按季度支付费用，乙方应在甲方付款前向甲方开具等额有效的增值税专用发票，甲方凭乙方开具的该等额发票付款。</w:t>
      </w:r>
    </w:p>
    <w:p>
      <w:pPr>
        <w:pStyle w:val="4"/>
        <w:tabs>
          <w:tab w:val="left" w:pos="2875"/>
        </w:tabs>
        <w:rPr>
          <w:rFonts w:hint="eastAsia" w:ascii="仿宋_GB2312" w:hAnsi="仿宋" w:eastAsia="仿宋_GB2312"/>
          <w:color w:val="000000"/>
        </w:rPr>
      </w:pPr>
      <w:bookmarkStart w:id="25" w:name="_Toc13065"/>
      <w:bookmarkStart w:id="26" w:name="_Toc584"/>
      <w:r>
        <w:rPr>
          <w:rFonts w:hint="eastAsia"/>
          <w:color w:val="000000"/>
        </w:rPr>
        <w:t>九、保密</w:t>
      </w:r>
      <w:bookmarkEnd w:id="25"/>
      <w:bookmarkEnd w:id="26"/>
    </w:p>
    <w:p>
      <w:pPr>
        <w:pStyle w:val="90"/>
        <w:ind w:firstLine="560"/>
        <w:rPr>
          <w:rFonts w:hint="eastAsia" w:cs="MingLiU"/>
          <w:sz w:val="28"/>
          <w:szCs w:val="28"/>
        </w:rPr>
      </w:pPr>
      <w:r>
        <w:rPr>
          <w:rFonts w:hint="eastAsia" w:hAnsi="仿宋"/>
          <w:color w:val="000000"/>
          <w:sz w:val="28"/>
          <w:szCs w:val="28"/>
        </w:rPr>
        <w:t>（一）</w:t>
      </w:r>
      <w:r>
        <w:rPr>
          <w:rFonts w:hint="eastAsia" w:cs="MingLiU"/>
          <w:sz w:val="28"/>
          <w:szCs w:val="28"/>
        </w:rPr>
        <w:t>公布报价以后，有关谈判响应文件的检查、澄清和评比以及与授予合同有关的推荐意见，在宣布成交供应商之前，不得向无关供应商或其他与该工作无关的人员泄露。</w:t>
      </w:r>
    </w:p>
    <w:p>
      <w:pPr>
        <w:pStyle w:val="90"/>
        <w:ind w:firstLine="560"/>
        <w:rPr>
          <w:rFonts w:hint="eastAsia" w:cs="MingLiU"/>
          <w:sz w:val="28"/>
          <w:szCs w:val="28"/>
        </w:rPr>
      </w:pPr>
      <w:r>
        <w:rPr>
          <w:rFonts w:hint="eastAsia" w:hAnsi="仿宋"/>
          <w:color w:val="000000"/>
          <w:sz w:val="28"/>
          <w:szCs w:val="28"/>
        </w:rPr>
        <w:t>（二）</w:t>
      </w:r>
      <w:r>
        <w:rPr>
          <w:rFonts w:hint="eastAsia" w:cs="MingLiU"/>
          <w:sz w:val="28"/>
          <w:szCs w:val="28"/>
        </w:rPr>
        <w:t>除谈判响应文件的初步评审的规定外，供应商在公布报价以后到确定中选人的这一期间，不得与采购人接触，联系有关其谈判响应文件的事宜。</w:t>
      </w:r>
    </w:p>
    <w:p>
      <w:pPr>
        <w:pStyle w:val="90"/>
        <w:ind w:firstLine="560"/>
        <w:rPr>
          <w:rFonts w:hint="eastAsia" w:cs="MingLiU"/>
          <w:sz w:val="28"/>
          <w:szCs w:val="28"/>
        </w:rPr>
      </w:pPr>
      <w:r>
        <w:rPr>
          <w:rFonts w:hint="eastAsia" w:hAnsi="仿宋"/>
          <w:color w:val="000000"/>
          <w:sz w:val="28"/>
          <w:szCs w:val="28"/>
        </w:rPr>
        <w:t>（三）</w:t>
      </w:r>
      <w:r>
        <w:rPr>
          <w:rFonts w:hint="eastAsia" w:cs="MingLiU"/>
          <w:sz w:val="28"/>
          <w:szCs w:val="28"/>
        </w:rPr>
        <w:t>供应商对采购人在谈判响应文件的评价、比较或确定授予合同的过程中企图施加影响的任何做法，都将导致该供应商的谈判响应文件被拒绝。</w:t>
      </w:r>
    </w:p>
    <w:p>
      <w:pPr>
        <w:spacing w:line="360" w:lineRule="auto"/>
        <w:ind w:firstLine="560" w:firstLineChars="200"/>
        <w:rPr>
          <w:rFonts w:hint="eastAsia" w:ascii="仿宋_GB2312" w:eastAsia="仿宋_GB2312" w:cs="MingLiU"/>
          <w:sz w:val="28"/>
          <w:szCs w:val="28"/>
        </w:rPr>
      </w:pPr>
      <w:r>
        <w:rPr>
          <w:rFonts w:hint="eastAsia" w:ascii="仿宋_GB2312" w:eastAsia="仿宋_GB2312" w:cs="MingLiU"/>
          <w:sz w:val="28"/>
          <w:szCs w:val="28"/>
        </w:rPr>
        <w:t>（四）谈判双方应分别为对方在谈判响应文件和竞争性谈判文件中涉及的商业和技术等秘密保密，违者应对由此造成的后果承担责任。</w:t>
      </w:r>
    </w:p>
    <w:p>
      <w:pPr>
        <w:pStyle w:val="4"/>
        <w:rPr>
          <w:rFonts w:hint="eastAsia"/>
          <w:color w:val="000000"/>
        </w:rPr>
      </w:pPr>
      <w:bookmarkStart w:id="27" w:name="_Toc23410"/>
      <w:bookmarkStart w:id="28" w:name="_Toc12551"/>
      <w:bookmarkStart w:id="29" w:name="_Toc14556"/>
      <w:r>
        <w:rPr>
          <w:rFonts w:hint="eastAsia"/>
          <w:color w:val="000000"/>
        </w:rPr>
        <w:t>十、其它</w:t>
      </w:r>
      <w:bookmarkEnd w:id="27"/>
      <w:bookmarkEnd w:id="28"/>
      <w:bookmarkEnd w:id="29"/>
    </w:p>
    <w:p>
      <w:pPr>
        <w:spacing w:line="360" w:lineRule="auto"/>
        <w:ind w:firstLine="560" w:firstLineChars="200"/>
        <w:rPr>
          <w:rFonts w:hint="eastAsia" w:ascii="仿宋_GB2312" w:hAnsi="Calibri" w:eastAsia="仿宋_GB2312" w:cs="MingLiU"/>
          <w:sz w:val="28"/>
          <w:szCs w:val="28"/>
        </w:rPr>
      </w:pPr>
      <w:r>
        <w:rPr>
          <w:rFonts w:hint="eastAsia" w:ascii="仿宋_GB2312" w:hAnsi="Calibri" w:eastAsia="仿宋_GB2312" w:cs="MingLiU"/>
          <w:sz w:val="28"/>
          <w:szCs w:val="28"/>
        </w:rPr>
        <w:t>该竞争性谈判文件的解释权和修订权属“北川发展污水处理有限责任公司公司”。</w:t>
      </w:r>
    </w:p>
    <w:p>
      <w:pPr>
        <w:spacing w:line="360" w:lineRule="auto"/>
        <w:jc w:val="center"/>
        <w:rPr>
          <w:rFonts w:hint="eastAsia" w:ascii="黑体" w:eastAsia="黑体"/>
          <w:sz w:val="36"/>
          <w:szCs w:val="36"/>
        </w:rPr>
      </w:pPr>
    </w:p>
    <w:bookmarkEnd w:id="3"/>
    <w:bookmarkEnd w:id="4"/>
    <w:p>
      <w:pPr>
        <w:pStyle w:val="3"/>
        <w:pageBreakBefore/>
        <w:numPr>
          <w:ilvl w:val="0"/>
          <w:numId w:val="0"/>
        </w:numPr>
        <w:jc w:val="center"/>
        <w:rPr>
          <w:rFonts w:hint="eastAsia"/>
          <w:color w:val="000000"/>
        </w:rPr>
      </w:pPr>
      <w:bookmarkStart w:id="30" w:name="_Toc9436"/>
      <w:bookmarkStart w:id="31" w:name="_Toc10169"/>
      <w:r>
        <w:rPr>
          <w:rFonts w:hint="eastAsia"/>
          <w:color w:val="000000"/>
        </w:rPr>
        <w:t>第三部分  竞争性谈判响应文件格式</w:t>
      </w:r>
      <w:bookmarkEnd w:id="30"/>
      <w:bookmarkEnd w:id="31"/>
    </w:p>
    <w:p>
      <w:pPr>
        <w:pStyle w:val="4"/>
        <w:rPr>
          <w:rFonts w:hint="eastAsia"/>
          <w:color w:val="000000"/>
        </w:rPr>
      </w:pPr>
      <w:bookmarkStart w:id="32" w:name="_Toc15007"/>
      <w:bookmarkStart w:id="33" w:name="_Toc19559"/>
      <w:bookmarkStart w:id="34" w:name="_Toc6021"/>
      <w:r>
        <w:rPr>
          <w:rFonts w:hint="eastAsia"/>
          <w:color w:val="000000"/>
        </w:rPr>
        <w:t>一、资格证明文件</w:t>
      </w:r>
      <w:bookmarkEnd w:id="32"/>
      <w:bookmarkEnd w:id="33"/>
      <w:bookmarkEnd w:id="34"/>
    </w:p>
    <w:p>
      <w:pPr>
        <w:spacing w:line="360" w:lineRule="auto"/>
        <w:rPr>
          <w:rFonts w:hint="eastAsia" w:ascii="仿宋_GB2312" w:hAnsi="仿宋" w:eastAsia="仿宋_GB2312"/>
          <w:color w:val="000000"/>
          <w:sz w:val="28"/>
          <w:szCs w:val="28"/>
        </w:rPr>
      </w:pPr>
      <w:r>
        <w:rPr>
          <w:rFonts w:hint="eastAsia" w:ascii="仿宋_GB2312" w:hAnsi="仿宋" w:eastAsia="仿宋_GB2312"/>
          <w:color w:val="000000"/>
          <w:sz w:val="28"/>
          <w:szCs w:val="28"/>
        </w:rPr>
        <w:t>（一）资格证明文件封面格式</w:t>
      </w:r>
    </w:p>
    <w:p>
      <w:pPr>
        <w:spacing w:line="360" w:lineRule="auto"/>
        <w:ind w:left="-420" w:leftChars="-200"/>
        <w:rPr>
          <w:rFonts w:hint="eastAsia" w:ascii="仿宋_GB2312" w:hAnsi="仿宋" w:eastAsia="仿宋_GB2312"/>
          <w:color w:val="000000"/>
          <w:sz w:val="28"/>
          <w:szCs w:val="28"/>
        </w:rPr>
      </w:pPr>
    </w:p>
    <w:p>
      <w:pPr>
        <w:spacing w:line="360" w:lineRule="auto"/>
        <w:ind w:left="-420" w:leftChars="-200" w:firstLine="420" w:firstLineChars="150"/>
        <w:rPr>
          <w:rFonts w:hint="eastAsia" w:ascii="仿宋_GB2312" w:hAnsi="仿宋" w:eastAsia="仿宋_GB2312"/>
          <w:color w:val="000000"/>
          <w:sz w:val="28"/>
          <w:szCs w:val="28"/>
        </w:rPr>
      </w:pPr>
      <w:r>
        <w:rPr>
          <w:rFonts w:hint="eastAsia" w:ascii="仿宋_GB2312" w:hAnsi="仿宋" w:eastAsia="仿宋_GB2312"/>
          <w:color w:val="000000"/>
          <w:sz w:val="28"/>
          <w:szCs w:val="28"/>
        </w:rPr>
        <w:t>致：XX公司</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72"/>
          <w:szCs w:val="72"/>
        </w:rPr>
      </w:pPr>
      <w:r>
        <w:rPr>
          <w:rFonts w:hint="eastAsia" w:ascii="仿宋_GB2312" w:hAnsi="仿宋" w:eastAsia="仿宋_GB2312"/>
          <w:color w:val="000000"/>
          <w:sz w:val="72"/>
          <w:szCs w:val="72"/>
        </w:rPr>
        <w:t>资格证明文件</w:t>
      </w:r>
    </w:p>
    <w:p>
      <w:pPr>
        <w:spacing w:line="360" w:lineRule="auto"/>
        <w:ind w:left="-420" w:leftChars="-200" w:firstLine="1820" w:firstLineChars="650"/>
        <w:rPr>
          <w:rFonts w:hint="eastAsia" w:ascii="仿宋_GB2312" w:hAnsi="仿宋" w:eastAsia="仿宋_GB2312"/>
          <w:color w:val="000000"/>
          <w:sz w:val="28"/>
          <w:szCs w:val="28"/>
        </w:rPr>
      </w:pPr>
    </w:p>
    <w:p>
      <w:pPr>
        <w:spacing w:line="360" w:lineRule="auto"/>
        <w:ind w:left="-420" w:leftChars="-200" w:firstLine="1820" w:firstLineChars="650"/>
        <w:rPr>
          <w:rFonts w:hint="eastAsia" w:ascii="仿宋_GB2312" w:hAnsi="仿宋" w:eastAsia="仿宋_GB2312"/>
          <w:color w:val="000000"/>
          <w:sz w:val="28"/>
          <w:szCs w:val="28"/>
        </w:rPr>
      </w:pPr>
      <w:r>
        <w:rPr>
          <w:rFonts w:hint="eastAsia" w:ascii="仿宋_GB2312" w:hAnsi="仿宋" w:eastAsia="仿宋_GB2312"/>
          <w:color w:val="000000"/>
          <w:sz w:val="28"/>
          <w:szCs w:val="28"/>
        </w:rPr>
        <w:t>项目编号：BCWS-C/H003-2022</w:t>
      </w:r>
    </w:p>
    <w:p>
      <w:pPr>
        <w:spacing w:line="360" w:lineRule="auto"/>
        <w:ind w:left="-420" w:leftChars="-200" w:firstLine="1820" w:firstLineChars="650"/>
        <w:rPr>
          <w:rFonts w:hint="default" w:ascii="仿宋_GB2312" w:hAnsi="仿宋" w:eastAsia="仿宋_GB2312"/>
          <w:color w:val="000000"/>
          <w:sz w:val="28"/>
          <w:szCs w:val="28"/>
          <w:lang w:val="en-US" w:eastAsia="zh-CN"/>
        </w:rPr>
      </w:pPr>
      <w:r>
        <w:rPr>
          <w:rFonts w:hint="eastAsia" w:ascii="仿宋_GB2312" w:hAnsi="仿宋" w:eastAsia="仿宋_GB2312"/>
          <w:color w:val="000000"/>
          <w:sz w:val="28"/>
          <w:szCs w:val="28"/>
        </w:rPr>
        <w:t>项目名称：</w:t>
      </w:r>
      <w:r>
        <w:rPr>
          <w:rFonts w:hint="eastAsia" w:ascii="仿宋_GB2312" w:hAnsi="仿宋" w:eastAsia="仿宋_GB2312"/>
          <w:color w:val="000000"/>
          <w:sz w:val="28"/>
          <w:szCs w:val="28"/>
          <w:lang w:val="en-US" w:eastAsia="zh-CN"/>
        </w:rPr>
        <w:t>一般固废处置服务采购项目</w:t>
      </w:r>
    </w:p>
    <w:p>
      <w:pPr>
        <w:spacing w:line="360" w:lineRule="auto"/>
        <w:ind w:left="-420" w:leftChars="-200" w:firstLine="1820" w:firstLineChars="650"/>
        <w:rPr>
          <w:rFonts w:hint="eastAsia" w:ascii="仿宋_GB2312" w:hAnsi="仿宋" w:eastAsia="仿宋_GB2312"/>
          <w:color w:val="000000"/>
          <w:sz w:val="28"/>
          <w:szCs w:val="28"/>
        </w:rPr>
      </w:pPr>
    </w:p>
    <w:p>
      <w:pPr>
        <w:spacing w:line="360" w:lineRule="auto"/>
        <w:ind w:left="-420" w:leftChars="-200" w:firstLine="1820" w:firstLineChars="650"/>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法定代表人或授权代理人签字：</w:t>
      </w:r>
    </w:p>
    <w:p>
      <w:pPr>
        <w:spacing w:line="360" w:lineRule="auto"/>
        <w:ind w:firstLine="2520" w:firstLineChars="900"/>
        <w:rPr>
          <w:rFonts w:hint="eastAsia" w:ascii="仿宋_GB2312" w:hAnsi="仿宋" w:eastAsia="仿宋_GB2312"/>
          <w:color w:val="000000"/>
          <w:sz w:val="28"/>
          <w:szCs w:val="28"/>
        </w:rPr>
      </w:pPr>
    </w:p>
    <w:p>
      <w:pPr>
        <w:spacing w:line="360" w:lineRule="auto"/>
        <w:ind w:firstLine="2520" w:firstLineChars="900"/>
        <w:rPr>
          <w:rFonts w:hint="eastAsia" w:ascii="仿宋_GB2312" w:hAnsi="仿宋" w:eastAsia="仿宋_GB2312"/>
          <w:color w:val="000000"/>
          <w:sz w:val="28"/>
          <w:szCs w:val="28"/>
        </w:rPr>
      </w:pPr>
      <w:r>
        <w:rPr>
          <w:rFonts w:hint="eastAsia" w:ascii="仿宋_GB2312" w:hAnsi="仿宋" w:eastAsia="仿宋_GB2312"/>
          <w:color w:val="000000"/>
          <w:sz w:val="28"/>
          <w:szCs w:val="28"/>
        </w:rPr>
        <w:t>供应商名称并盖公章：</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ascii="仿宋_GB2312" w:hAnsi="仿宋" w:eastAsia="仿宋_GB2312"/>
          <w:color w:val="000000"/>
          <w:sz w:val="28"/>
          <w:szCs w:val="28"/>
        </w:rPr>
      </w:pPr>
      <w:r>
        <w:rPr>
          <w:rFonts w:hint="eastAsia" w:ascii="仿宋_GB2312" w:hAnsi="仿宋" w:eastAsia="仿宋_GB2312"/>
          <w:color w:val="000000"/>
          <w:sz w:val="28"/>
          <w:szCs w:val="28"/>
        </w:rPr>
        <w:t>年     月      日</w:t>
      </w:r>
    </w:p>
    <w:p>
      <w:pPr>
        <w:tabs>
          <w:tab w:val="left" w:pos="720"/>
          <w:tab w:val="left" w:pos="840"/>
        </w:tabs>
        <w:spacing w:line="360" w:lineRule="auto"/>
        <w:outlineLvl w:val="2"/>
        <w:rPr>
          <w:rFonts w:hint="eastAsia" w:ascii="仿宋_GB2312" w:hAnsi="宋体" w:eastAsia="仿宋_GB2312"/>
          <w:sz w:val="28"/>
          <w:szCs w:val="28"/>
        </w:rPr>
      </w:pPr>
      <w:r>
        <w:rPr>
          <w:rFonts w:ascii="仿宋_GB2312" w:hAnsi="仿宋" w:eastAsia="仿宋_GB2312"/>
          <w:color w:val="000000"/>
          <w:sz w:val="28"/>
          <w:szCs w:val="28"/>
        </w:rPr>
        <w:br w:type="page"/>
      </w:r>
      <w:bookmarkStart w:id="35" w:name="_Toc393872360"/>
      <w:bookmarkStart w:id="36" w:name="_Toc387061859"/>
      <w:r>
        <w:rPr>
          <w:rFonts w:hint="eastAsia" w:ascii="仿宋_GB2312" w:hAnsi="宋体" w:eastAsia="仿宋_GB2312"/>
          <w:sz w:val="28"/>
          <w:szCs w:val="28"/>
        </w:rPr>
        <w:t>（二）</w:t>
      </w:r>
      <w:bookmarkEnd w:id="35"/>
      <w:bookmarkEnd w:id="36"/>
      <w:r>
        <w:rPr>
          <w:rFonts w:hint="eastAsia" w:ascii="仿宋_GB2312" w:hAnsi="宋体" w:eastAsia="仿宋_GB2312"/>
          <w:sz w:val="28"/>
          <w:szCs w:val="28"/>
        </w:rPr>
        <w:t>承诺书</w:t>
      </w:r>
    </w:p>
    <w:p>
      <w:pPr>
        <w:spacing w:line="360" w:lineRule="auto"/>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承  诺  书（样表）</w:t>
      </w:r>
    </w:p>
    <w:p>
      <w:pPr>
        <w:tabs>
          <w:tab w:val="left" w:pos="630"/>
        </w:tabs>
        <w:spacing w:line="360" w:lineRule="auto"/>
        <w:rPr>
          <w:rFonts w:hint="eastAsia" w:ascii="仿宋_GB2312" w:hAnsi="仿宋" w:eastAsia="仿宋_GB2312"/>
          <w:color w:val="000000"/>
          <w:sz w:val="28"/>
          <w:szCs w:val="28"/>
        </w:rPr>
      </w:pPr>
      <w:r>
        <w:rPr>
          <w:rFonts w:hint="eastAsia" w:ascii="仿宋_GB2312" w:hAnsi="仿宋" w:eastAsia="仿宋_GB2312" w:cs="宋体"/>
          <w:color w:val="000000"/>
          <w:kern w:val="0"/>
          <w:sz w:val="28"/>
          <w:szCs w:val="28"/>
        </w:rPr>
        <w:t>XX公司</w:t>
      </w:r>
      <w:r>
        <w:rPr>
          <w:rFonts w:hint="eastAsia" w:ascii="仿宋_GB2312" w:hAnsi="仿宋" w:eastAsia="仿宋_GB2312"/>
          <w:color w:val="000000"/>
          <w:sz w:val="28"/>
          <w:szCs w:val="28"/>
        </w:rPr>
        <w:t>：</w:t>
      </w:r>
    </w:p>
    <w:p>
      <w:pPr>
        <w:spacing w:line="360" w:lineRule="auto"/>
        <w:ind w:firstLine="560"/>
        <w:rPr>
          <w:rFonts w:hint="eastAsia" w:ascii="仿宋_GB2312" w:hAnsi="仿宋" w:eastAsia="仿宋_GB2312"/>
          <w:color w:val="000000"/>
          <w:sz w:val="28"/>
          <w:szCs w:val="28"/>
          <w:u w:val="single"/>
        </w:rPr>
      </w:pPr>
      <w:r>
        <w:rPr>
          <w:rFonts w:hint="eastAsia" w:ascii="仿宋_GB2312" w:hAnsi="仿宋" w:eastAsia="仿宋_GB2312"/>
          <w:color w:val="000000"/>
          <w:sz w:val="28"/>
          <w:szCs w:val="28"/>
        </w:rPr>
        <w:t>根据贵方关于</w:t>
      </w:r>
      <w:r>
        <w:rPr>
          <w:rFonts w:hint="eastAsia" w:ascii="仿宋_GB2312" w:hAnsi="仿宋" w:eastAsia="仿宋_GB2312"/>
          <w:b/>
          <w:color w:val="000000"/>
          <w:sz w:val="28"/>
          <w:szCs w:val="28"/>
          <w:u w:val="single"/>
        </w:rPr>
        <w:t xml:space="preserve">                 </w:t>
      </w:r>
      <w:r>
        <w:rPr>
          <w:rFonts w:hint="eastAsia" w:ascii="仿宋_GB2312" w:hAnsi="仿宋" w:eastAsia="仿宋_GB2312"/>
          <w:b/>
          <w:color w:val="000000"/>
          <w:sz w:val="28"/>
          <w:szCs w:val="28"/>
        </w:rPr>
        <w:t xml:space="preserve"> (项目名称)</w:t>
      </w:r>
      <w:r>
        <w:rPr>
          <w:rFonts w:hint="eastAsia" w:ascii="仿宋_GB2312" w:hAnsi="仿宋" w:eastAsia="仿宋_GB2312"/>
          <w:color w:val="000000"/>
          <w:sz w:val="28"/>
          <w:szCs w:val="28"/>
        </w:rPr>
        <w:t>的竞争性谈判文件的要求，我单位正式授权</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为全权代表，参加贵方组织的</w:t>
      </w:r>
      <w:r>
        <w:rPr>
          <w:rFonts w:hint="eastAsia" w:ascii="仿宋_GB2312" w:hAnsi="仿宋" w:eastAsia="仿宋_GB2312"/>
          <w:color w:val="000000"/>
          <w:sz w:val="28"/>
          <w:szCs w:val="28"/>
          <w:u w:val="single"/>
        </w:rPr>
        <w:t xml:space="preserve">            </w:t>
      </w:r>
    </w:p>
    <w:p>
      <w:pPr>
        <w:spacing w:line="360" w:lineRule="auto"/>
        <w:rPr>
          <w:rFonts w:hint="eastAsia" w:ascii="仿宋_GB2312" w:hAnsi="仿宋" w:eastAsia="仿宋_GB2312"/>
          <w:color w:val="000000"/>
          <w:sz w:val="28"/>
          <w:szCs w:val="28"/>
        </w:rPr>
      </w:pPr>
      <w:r>
        <w:rPr>
          <w:rFonts w:hint="eastAsia" w:ascii="仿宋_GB2312" w:hAnsi="仿宋" w:eastAsia="仿宋_GB2312"/>
          <w:b/>
          <w:color w:val="000000"/>
          <w:sz w:val="28"/>
          <w:szCs w:val="28"/>
        </w:rPr>
        <w:t>（项目名称）</w:t>
      </w:r>
      <w:r>
        <w:rPr>
          <w:rFonts w:hint="eastAsia" w:ascii="仿宋_GB2312" w:hAnsi="仿宋" w:eastAsia="仿宋_GB2312"/>
          <w:color w:val="000000"/>
          <w:sz w:val="28"/>
          <w:szCs w:val="28"/>
        </w:rPr>
        <w:t>竞争性谈判活动，作出以下承诺：</w:t>
      </w:r>
    </w:p>
    <w:p>
      <w:pPr>
        <w:pStyle w:val="84"/>
        <w:ind w:firstLine="560" w:firstLineChars="200"/>
        <w:jc w:val="both"/>
        <w:rPr>
          <w:rFonts w:hint="eastAsia" w:cs="Arial"/>
          <w:b w:val="0"/>
          <w:kern w:val="2"/>
          <w:sz w:val="28"/>
          <w:szCs w:val="28"/>
        </w:rPr>
      </w:pPr>
      <w:r>
        <w:rPr>
          <w:rFonts w:hint="eastAsia" w:cs="Arial"/>
          <w:b w:val="0"/>
          <w:kern w:val="2"/>
          <w:sz w:val="28"/>
          <w:szCs w:val="28"/>
        </w:rPr>
        <w:t>1.提交的所有文件、资格、证明、陈述、数据均是真实的和准确的。若存在任何与提供的资料不符的情况，我公司愿为由此产生的一切后果负责。</w:t>
      </w:r>
    </w:p>
    <w:p>
      <w:pPr>
        <w:tabs>
          <w:tab w:val="left" w:pos="945"/>
          <w:tab w:val="left" w:pos="1260"/>
        </w:tabs>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2.完全满足竞争性谈判文件中全部实质性要求。</w:t>
      </w:r>
    </w:p>
    <w:p>
      <w:pPr>
        <w:tabs>
          <w:tab w:val="left" w:pos="945"/>
          <w:tab w:val="left" w:pos="1260"/>
        </w:tabs>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3.竞争性谈判响应文件中资格证明文件资料、技术文件、报价文件资料经密封，加盖单位公章和法定代表人或委托代理人签字后递交。</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4.保证遵守竞争性谈判文件中的有关规定。</w:t>
      </w:r>
    </w:p>
    <w:p>
      <w:pPr>
        <w:tabs>
          <w:tab w:val="left" w:pos="1110"/>
        </w:tabs>
        <w:spacing w:line="360" w:lineRule="auto"/>
        <w:ind w:right="-153" w:rightChars="-73"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5.保证忠实地执行竞争性谈判双方所签署的经济合同，并承担合同规定的责任义务。</w:t>
      </w:r>
    </w:p>
    <w:p>
      <w:pPr>
        <w:tabs>
          <w:tab w:val="left" w:pos="1110"/>
        </w:tabs>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6.愿意向贵方提供任何与该项目报价有关的数据、情况和技术资料。</w:t>
      </w:r>
    </w:p>
    <w:p>
      <w:pPr>
        <w:tabs>
          <w:tab w:val="left" w:pos="1110"/>
        </w:tabs>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7.我们已详细审核全部竞争性谈判文件、参考资料及有关附件，我们知道必须放弃提出含糊不清或误解问题的权利。</w:t>
      </w:r>
    </w:p>
    <w:p>
      <w:pPr>
        <w:tabs>
          <w:tab w:val="left" w:pos="1110"/>
        </w:tabs>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8.我们完全理解贵方不一定接受最低报价或收到的任何报价。</w:t>
      </w:r>
    </w:p>
    <w:p>
      <w:pPr>
        <w:tabs>
          <w:tab w:val="left" w:pos="1110"/>
        </w:tabs>
        <w:spacing w:line="360" w:lineRule="auto"/>
        <w:ind w:firstLine="560" w:firstLineChars="200"/>
        <w:rPr>
          <w:rFonts w:hint="eastAsia" w:ascii="仿宋_GB2312" w:eastAsia="仿宋_GB2312" w:cs="Arial"/>
          <w:sz w:val="28"/>
          <w:szCs w:val="28"/>
        </w:rPr>
      </w:pPr>
      <w:r>
        <w:rPr>
          <w:rFonts w:hint="eastAsia" w:ascii="仿宋_GB2312" w:hAnsi="仿宋" w:eastAsia="仿宋_GB2312"/>
          <w:color w:val="000000"/>
          <w:sz w:val="28"/>
          <w:szCs w:val="28"/>
        </w:rPr>
        <w:t>9.</w:t>
      </w:r>
      <w:r>
        <w:rPr>
          <w:rFonts w:hint="eastAsia" w:ascii="仿宋_GB2312" w:eastAsia="仿宋_GB2312" w:cs="Arial"/>
          <w:sz w:val="28"/>
          <w:szCs w:val="28"/>
        </w:rPr>
        <w:t>我公司承诺不将本项目转包或分包给其他任何机构。</w:t>
      </w:r>
    </w:p>
    <w:p>
      <w:pPr>
        <w:tabs>
          <w:tab w:val="left" w:pos="1110"/>
        </w:tabs>
        <w:spacing w:line="360" w:lineRule="auto"/>
        <w:ind w:firstLine="562" w:firstLineChars="200"/>
        <w:rPr>
          <w:rFonts w:hint="eastAsia" w:ascii="仿宋_GB2312" w:eastAsia="仿宋_GB2312" w:cs="Arial"/>
          <w:b/>
          <w:bCs/>
          <w:sz w:val="28"/>
          <w:szCs w:val="28"/>
        </w:rPr>
      </w:pPr>
      <w:r>
        <w:rPr>
          <w:rFonts w:hint="eastAsia" w:ascii="仿宋_GB2312" w:eastAsia="仿宋_GB2312" w:cs="Arial"/>
          <w:b/>
          <w:bCs/>
          <w:sz w:val="28"/>
          <w:szCs w:val="28"/>
        </w:rPr>
        <w:t>10.我公司承诺完全响应本竞争性谈判文件所附合同全部条款。</w:t>
      </w:r>
    </w:p>
    <w:p>
      <w:pPr>
        <w:tabs>
          <w:tab w:val="left" w:pos="1110"/>
        </w:tabs>
        <w:spacing w:line="360" w:lineRule="auto"/>
        <w:ind w:firstLine="560" w:firstLineChars="200"/>
        <w:rPr>
          <w:rFonts w:hint="eastAsia" w:ascii="仿宋_GB2312" w:hAnsi="仿宋" w:eastAsia="仿宋_GB2312"/>
          <w:color w:val="000000"/>
          <w:sz w:val="28"/>
          <w:szCs w:val="28"/>
        </w:rPr>
      </w:pPr>
    </w:p>
    <w:p>
      <w:pPr>
        <w:spacing w:line="360" w:lineRule="auto"/>
        <w:ind w:left="525"/>
        <w:rPr>
          <w:rFonts w:hint="eastAsia" w:ascii="仿宋_GB2312" w:hAnsi="仿宋" w:eastAsia="仿宋_GB2312"/>
          <w:color w:val="000000"/>
          <w:sz w:val="28"/>
          <w:szCs w:val="28"/>
        </w:rPr>
      </w:pPr>
      <w:r>
        <w:rPr>
          <w:rFonts w:hint="eastAsia" w:ascii="仿宋_GB2312" w:hAnsi="仿宋" w:eastAsia="仿宋_GB2312"/>
          <w:color w:val="000000"/>
          <w:sz w:val="28"/>
          <w:szCs w:val="28"/>
        </w:rPr>
        <w:t>供应商：</w:t>
      </w:r>
      <w:r>
        <w:rPr>
          <w:rFonts w:hint="eastAsia" w:ascii="仿宋_GB2312" w:hAnsi="宋体" w:eastAsia="仿宋_GB2312" w:cs="Arial"/>
          <w:sz w:val="28"/>
          <w:szCs w:val="28"/>
          <w:u w:val="single"/>
        </w:rPr>
        <w:t>（盖公章）</w:t>
      </w:r>
    </w:p>
    <w:p>
      <w:pPr>
        <w:spacing w:line="360" w:lineRule="auto"/>
        <w:ind w:left="525"/>
        <w:rPr>
          <w:rFonts w:hint="eastAsia" w:ascii="仿宋_GB2312" w:hAnsi="仿宋" w:eastAsia="仿宋_GB2312"/>
          <w:color w:val="000000"/>
          <w:sz w:val="28"/>
          <w:szCs w:val="28"/>
        </w:rPr>
      </w:pPr>
      <w:r>
        <w:rPr>
          <w:rFonts w:hint="eastAsia" w:ascii="仿宋_GB2312" w:eastAsia="仿宋_GB2312"/>
          <w:color w:val="000000"/>
          <w:sz w:val="28"/>
        </w:rPr>
        <w:t>法定代表人或授权代表：</w:t>
      </w:r>
      <w:r>
        <w:rPr>
          <w:rFonts w:hint="eastAsia" w:ascii="仿宋_GB2312" w:hAnsi="宋体" w:eastAsia="仿宋_GB2312" w:cs="Arial"/>
          <w:sz w:val="28"/>
          <w:szCs w:val="28"/>
          <w:u w:val="single"/>
        </w:rPr>
        <w:t xml:space="preserve">（签名）    </w:t>
      </w:r>
    </w:p>
    <w:p>
      <w:pPr>
        <w:spacing w:line="360" w:lineRule="auto"/>
        <w:ind w:left="525" w:leftChars="250" w:firstLine="4900" w:firstLineChars="175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年    月    日 </w:t>
      </w:r>
    </w:p>
    <w:p>
      <w:pPr>
        <w:tabs>
          <w:tab w:val="left" w:pos="720"/>
          <w:tab w:val="left" w:pos="840"/>
        </w:tabs>
        <w:spacing w:line="360" w:lineRule="auto"/>
        <w:outlineLvl w:val="2"/>
        <w:rPr>
          <w:rFonts w:ascii="仿宋_GB2312" w:hAnsi="宋体" w:eastAsia="仿宋_GB2312"/>
          <w:sz w:val="28"/>
          <w:szCs w:val="28"/>
        </w:rPr>
      </w:pPr>
      <w:bookmarkStart w:id="37" w:name="_Toc245881755"/>
      <w:bookmarkStart w:id="38" w:name="_Toc244580483"/>
      <w:bookmarkStart w:id="39" w:name="_Toc152579079"/>
      <w:bookmarkStart w:id="40" w:name="_Toc393872364"/>
      <w:bookmarkStart w:id="41" w:name="_Toc387061863"/>
      <w:bookmarkStart w:id="42" w:name="_Toc152579368"/>
      <w:bookmarkStart w:id="43" w:name="_Toc152147285"/>
      <w:bookmarkStart w:id="44" w:name="_Toc152579447"/>
      <w:bookmarkStart w:id="45" w:name="_Toc149408926"/>
      <w:r>
        <w:rPr>
          <w:rFonts w:hint="eastAsia" w:ascii="仿宋_GB2312" w:hAnsi="宋体" w:eastAsia="仿宋_GB2312"/>
          <w:sz w:val="28"/>
          <w:szCs w:val="28"/>
        </w:rPr>
        <w:t>（三）法定代表人身份证明书</w:t>
      </w:r>
    </w:p>
    <w:p>
      <w:pPr>
        <w:tabs>
          <w:tab w:val="left" w:pos="720"/>
          <w:tab w:val="left" w:pos="840"/>
        </w:tabs>
        <w:spacing w:line="360" w:lineRule="auto"/>
        <w:jc w:val="center"/>
        <w:outlineLvl w:val="2"/>
        <w:rPr>
          <w:rFonts w:hint="eastAsia" w:ascii="仿宋_GB2312" w:hAnsi="宋体" w:eastAsia="仿宋_GB2312"/>
          <w:sz w:val="28"/>
          <w:szCs w:val="28"/>
        </w:rPr>
      </w:pPr>
      <w:r>
        <w:rPr>
          <w:rFonts w:hint="eastAsia" w:ascii="仿宋_GB2312" w:hAnsi="宋体" w:eastAsia="仿宋_GB2312"/>
          <w:sz w:val="28"/>
          <w:szCs w:val="28"/>
        </w:rPr>
        <w:t>法定代表人身份证明书</w:t>
      </w:r>
    </w:p>
    <w:p>
      <w:pPr>
        <w:tabs>
          <w:tab w:val="left" w:pos="720"/>
          <w:tab w:val="left" w:pos="840"/>
        </w:tabs>
        <w:spacing w:line="360" w:lineRule="auto"/>
        <w:jc w:val="center"/>
        <w:outlineLvl w:val="2"/>
        <w:rPr>
          <w:rFonts w:hint="eastAsia" w:ascii="仿宋_GB2312" w:hAnsi="宋体" w:eastAsia="仿宋_GB2312"/>
          <w:sz w:val="28"/>
          <w:szCs w:val="28"/>
        </w:rPr>
      </w:pPr>
    </w:p>
    <w:p>
      <w:pPr>
        <w:spacing w:line="360" w:lineRule="auto"/>
        <w:ind w:left="1134" w:hanging="1134" w:hangingChars="405"/>
        <w:rPr>
          <w:rFonts w:hint="eastAsia" w:ascii="仿宋_GB2312" w:hAnsi="宋体" w:eastAsia="仿宋_GB2312" w:cs="Arial"/>
          <w:sz w:val="28"/>
          <w:szCs w:val="28"/>
          <w:u w:val="single"/>
        </w:rPr>
      </w:pPr>
      <w:r>
        <w:rPr>
          <w:rFonts w:hint="eastAsia" w:ascii="仿宋_GB2312" w:hAnsi="宋体" w:eastAsia="仿宋_GB2312" w:cs="Arial"/>
          <w:sz w:val="28"/>
          <w:szCs w:val="28"/>
        </w:rPr>
        <w:t>供应商名称：</w:t>
      </w:r>
      <w:r>
        <w:rPr>
          <w:rFonts w:hint="eastAsia" w:ascii="仿宋_GB2312" w:hAnsi="宋体" w:eastAsia="仿宋_GB2312" w:cs="Arial"/>
          <w:sz w:val="28"/>
          <w:szCs w:val="28"/>
          <w:u w:val="single"/>
        </w:rPr>
        <w:t xml:space="preserve">                         </w:t>
      </w:r>
    </w:p>
    <w:p>
      <w:pPr>
        <w:spacing w:line="360" w:lineRule="auto"/>
        <w:ind w:left="1134" w:hanging="1134" w:hangingChars="405"/>
        <w:rPr>
          <w:rFonts w:hint="eastAsia" w:ascii="仿宋_GB2312" w:hAnsi="宋体" w:eastAsia="仿宋_GB2312" w:cs="Arial"/>
          <w:sz w:val="28"/>
          <w:szCs w:val="28"/>
        </w:rPr>
      </w:pPr>
      <w:r>
        <w:rPr>
          <w:rFonts w:hint="eastAsia" w:ascii="仿宋_GB2312" w:hAnsi="宋体" w:eastAsia="仿宋_GB2312" w:cs="Arial"/>
          <w:sz w:val="28"/>
          <w:szCs w:val="28"/>
        </w:rPr>
        <w:t>单位性质：</w:t>
      </w:r>
      <w:r>
        <w:rPr>
          <w:rFonts w:hint="eastAsia" w:ascii="仿宋_GB2312" w:hAnsi="宋体" w:eastAsia="仿宋_GB2312" w:cs="Arial"/>
          <w:sz w:val="28"/>
          <w:szCs w:val="28"/>
          <w:u w:val="single"/>
        </w:rPr>
        <w:t xml:space="preserve">                           </w:t>
      </w:r>
    </w:p>
    <w:p>
      <w:pPr>
        <w:spacing w:line="360" w:lineRule="auto"/>
        <w:ind w:left="1134" w:hanging="1134" w:hangingChars="405"/>
        <w:rPr>
          <w:rFonts w:hint="eastAsia" w:ascii="仿宋_GB2312" w:hAnsi="宋体" w:eastAsia="仿宋_GB2312" w:cs="Arial"/>
          <w:sz w:val="28"/>
          <w:szCs w:val="28"/>
        </w:rPr>
      </w:pPr>
      <w:r>
        <w:rPr>
          <w:rFonts w:hint="eastAsia" w:ascii="仿宋_GB2312" w:hAnsi="宋体" w:eastAsia="仿宋_GB2312" w:cs="Arial"/>
          <w:sz w:val="28"/>
          <w:szCs w:val="28"/>
        </w:rPr>
        <w:t>地    址：</w:t>
      </w:r>
      <w:r>
        <w:rPr>
          <w:rFonts w:hint="eastAsia" w:ascii="仿宋_GB2312" w:hAnsi="宋体" w:eastAsia="仿宋_GB2312" w:cs="Arial"/>
          <w:sz w:val="28"/>
          <w:szCs w:val="28"/>
          <w:u w:val="single"/>
        </w:rPr>
        <w:t xml:space="preserve">                           </w:t>
      </w:r>
    </w:p>
    <w:p>
      <w:pPr>
        <w:spacing w:line="360" w:lineRule="auto"/>
        <w:rPr>
          <w:rFonts w:hint="eastAsia" w:ascii="仿宋_GB2312" w:hAnsi="宋体" w:eastAsia="仿宋_GB2312" w:cs="Arial"/>
          <w:sz w:val="28"/>
          <w:szCs w:val="28"/>
        </w:rPr>
      </w:pPr>
      <w:r>
        <w:rPr>
          <w:rFonts w:hint="eastAsia" w:ascii="仿宋_GB2312" w:hAnsi="宋体" w:eastAsia="仿宋_GB2312" w:cs="Arial"/>
          <w:sz w:val="28"/>
          <w:szCs w:val="28"/>
        </w:rPr>
        <w:t>成立时间：</w:t>
      </w:r>
      <w:r>
        <w:rPr>
          <w:rFonts w:hint="eastAsia" w:ascii="仿宋_GB2312" w:hAnsi="宋体" w:eastAsia="仿宋_GB2312" w:cs="Arial"/>
          <w:sz w:val="28"/>
          <w:szCs w:val="28"/>
          <w:u w:val="single"/>
        </w:rPr>
        <w:t xml:space="preserve">      </w:t>
      </w:r>
      <w:r>
        <w:rPr>
          <w:rFonts w:hint="eastAsia" w:ascii="仿宋_GB2312" w:hAnsi="宋体" w:eastAsia="仿宋_GB2312" w:cs="Arial"/>
          <w:sz w:val="28"/>
          <w:szCs w:val="28"/>
        </w:rPr>
        <w:t>年</w:t>
      </w:r>
      <w:r>
        <w:rPr>
          <w:rFonts w:hint="eastAsia" w:ascii="仿宋_GB2312" w:hAnsi="宋体" w:eastAsia="仿宋_GB2312" w:cs="Arial"/>
          <w:sz w:val="28"/>
          <w:szCs w:val="28"/>
          <w:u w:val="single"/>
        </w:rPr>
        <w:t xml:space="preserve">     </w:t>
      </w:r>
      <w:r>
        <w:rPr>
          <w:rFonts w:hint="eastAsia" w:ascii="仿宋_GB2312" w:hAnsi="宋体" w:eastAsia="仿宋_GB2312" w:cs="Arial"/>
          <w:sz w:val="28"/>
          <w:szCs w:val="28"/>
        </w:rPr>
        <w:t>月</w:t>
      </w:r>
      <w:r>
        <w:rPr>
          <w:rFonts w:hint="eastAsia" w:ascii="仿宋_GB2312" w:hAnsi="宋体" w:eastAsia="仿宋_GB2312" w:cs="Arial"/>
          <w:sz w:val="28"/>
          <w:szCs w:val="28"/>
          <w:u w:val="single"/>
        </w:rPr>
        <w:t xml:space="preserve">    </w:t>
      </w:r>
      <w:r>
        <w:rPr>
          <w:rFonts w:hint="eastAsia" w:ascii="仿宋_GB2312" w:hAnsi="宋体" w:eastAsia="仿宋_GB2312" w:cs="Arial"/>
          <w:sz w:val="28"/>
          <w:szCs w:val="28"/>
        </w:rPr>
        <w:t>日</w:t>
      </w:r>
    </w:p>
    <w:p>
      <w:pPr>
        <w:spacing w:line="360" w:lineRule="auto"/>
        <w:ind w:left="1134" w:hanging="1134" w:hangingChars="405"/>
        <w:rPr>
          <w:rFonts w:hint="eastAsia" w:ascii="仿宋_GB2312" w:hAnsi="宋体" w:eastAsia="仿宋_GB2312" w:cs="Arial"/>
          <w:sz w:val="28"/>
          <w:szCs w:val="28"/>
        </w:rPr>
      </w:pPr>
      <w:r>
        <w:rPr>
          <w:rFonts w:hint="eastAsia" w:ascii="仿宋_GB2312" w:hAnsi="宋体" w:eastAsia="仿宋_GB2312" w:cs="Arial"/>
          <w:sz w:val="28"/>
          <w:szCs w:val="28"/>
        </w:rPr>
        <w:t>经营期限：</w:t>
      </w:r>
      <w:r>
        <w:rPr>
          <w:rFonts w:hint="eastAsia" w:ascii="仿宋_GB2312" w:hAnsi="宋体" w:eastAsia="仿宋_GB2312" w:cs="Arial"/>
          <w:sz w:val="28"/>
          <w:szCs w:val="28"/>
          <w:u w:val="single"/>
        </w:rPr>
        <w:t xml:space="preserve">                           </w:t>
      </w:r>
    </w:p>
    <w:p>
      <w:pPr>
        <w:spacing w:line="360" w:lineRule="auto"/>
        <w:rPr>
          <w:rFonts w:hint="eastAsia" w:ascii="仿宋_GB2312" w:hAnsi="宋体" w:eastAsia="仿宋_GB2312" w:cs="Arial"/>
          <w:sz w:val="28"/>
          <w:szCs w:val="28"/>
        </w:rPr>
      </w:pPr>
      <w:r>
        <w:rPr>
          <w:rFonts w:hint="eastAsia" w:ascii="仿宋_GB2312" w:hAnsi="宋体" w:eastAsia="仿宋_GB2312" w:cs="Arial"/>
          <w:sz w:val="28"/>
          <w:szCs w:val="28"/>
        </w:rPr>
        <w:t>姓    名：</w:t>
      </w:r>
      <w:r>
        <w:rPr>
          <w:rFonts w:hint="eastAsia" w:ascii="仿宋_GB2312" w:hAnsi="宋体" w:eastAsia="仿宋_GB2312" w:cs="Arial"/>
          <w:sz w:val="28"/>
          <w:szCs w:val="28"/>
          <w:u w:val="single"/>
        </w:rPr>
        <w:t xml:space="preserve">            </w:t>
      </w:r>
      <w:r>
        <w:rPr>
          <w:rFonts w:hint="eastAsia" w:ascii="仿宋_GB2312" w:hAnsi="宋体" w:eastAsia="仿宋_GB2312" w:cs="Arial"/>
          <w:sz w:val="28"/>
          <w:szCs w:val="28"/>
        </w:rPr>
        <w:t>系</w:t>
      </w:r>
      <w:r>
        <w:rPr>
          <w:rFonts w:hint="eastAsia" w:ascii="仿宋_GB2312" w:hAnsi="宋体" w:eastAsia="仿宋_GB2312" w:cs="Arial"/>
          <w:sz w:val="28"/>
          <w:szCs w:val="28"/>
          <w:u w:val="single"/>
        </w:rPr>
        <w:t xml:space="preserve">                          </w:t>
      </w:r>
      <w:r>
        <w:rPr>
          <w:rFonts w:hint="eastAsia" w:ascii="仿宋_GB2312" w:hAnsi="宋体" w:eastAsia="仿宋_GB2312" w:cs="Arial"/>
          <w:sz w:val="28"/>
          <w:szCs w:val="28"/>
        </w:rPr>
        <w:t>（供应商名称）的法定代表人（职务：</w:t>
      </w:r>
      <w:r>
        <w:rPr>
          <w:rFonts w:hint="eastAsia" w:ascii="仿宋_GB2312" w:hAnsi="宋体" w:eastAsia="仿宋_GB2312" w:cs="Arial"/>
          <w:sz w:val="28"/>
          <w:szCs w:val="28"/>
          <w:u w:val="single"/>
        </w:rPr>
        <w:t xml:space="preserve">          </w:t>
      </w:r>
      <w:r>
        <w:rPr>
          <w:rFonts w:hint="eastAsia" w:ascii="仿宋_GB2312" w:hAnsi="宋体" w:eastAsia="仿宋_GB2312" w:cs="Arial"/>
          <w:sz w:val="28"/>
          <w:szCs w:val="28"/>
        </w:rPr>
        <w:t>电话：</w:t>
      </w:r>
      <w:r>
        <w:rPr>
          <w:rFonts w:hint="eastAsia" w:ascii="仿宋_GB2312" w:hAnsi="宋体" w:eastAsia="仿宋_GB2312" w:cs="Arial"/>
          <w:sz w:val="28"/>
          <w:szCs w:val="28"/>
          <w:u w:val="single"/>
        </w:rPr>
        <w:t xml:space="preserve">                 </w:t>
      </w:r>
      <w:r>
        <w:rPr>
          <w:rFonts w:hint="eastAsia" w:ascii="仿宋_GB2312" w:hAnsi="宋体" w:eastAsia="仿宋_GB2312" w:cs="Arial"/>
          <w:sz w:val="28"/>
          <w:szCs w:val="28"/>
        </w:rPr>
        <w:t>）。</w:t>
      </w:r>
    </w:p>
    <w:p>
      <w:pPr>
        <w:spacing w:line="360" w:lineRule="auto"/>
        <w:ind w:firstLine="560" w:firstLineChars="200"/>
        <w:rPr>
          <w:rFonts w:hint="eastAsia" w:ascii="仿宋_GB2312" w:hAnsi="宋体" w:eastAsia="仿宋_GB2312" w:cs="Arial"/>
          <w:sz w:val="28"/>
          <w:szCs w:val="28"/>
        </w:rPr>
      </w:pPr>
    </w:p>
    <w:p>
      <w:pPr>
        <w:tabs>
          <w:tab w:val="left" w:pos="567"/>
        </w:tabs>
        <w:spacing w:line="360" w:lineRule="auto"/>
        <w:ind w:left="1061" w:leftChars="232" w:hanging="574" w:hangingChars="205"/>
        <w:rPr>
          <w:rFonts w:hint="eastAsia" w:ascii="仿宋_GB2312" w:hAnsi="宋体" w:eastAsia="仿宋_GB2312" w:cs="Arial"/>
          <w:sz w:val="28"/>
          <w:szCs w:val="28"/>
        </w:rPr>
      </w:pPr>
      <w:r>
        <w:rPr>
          <w:rFonts w:hint="eastAsia" w:ascii="仿宋_GB2312" w:hAnsi="宋体" w:eastAsia="仿宋_GB2312" w:cs="Arial"/>
          <w:sz w:val="28"/>
          <w:szCs w:val="28"/>
        </w:rPr>
        <w:t>特此证明。</w:t>
      </w:r>
    </w:p>
    <w:p>
      <w:pPr>
        <w:spacing w:line="360" w:lineRule="auto"/>
        <w:ind w:left="1061" w:leftChars="232" w:hanging="574" w:hangingChars="205"/>
        <w:rPr>
          <w:rFonts w:hint="eastAsia" w:ascii="仿宋_GB2312" w:hAnsi="宋体" w:eastAsia="仿宋_GB2312" w:cs="Arial"/>
          <w:sz w:val="28"/>
          <w:szCs w:val="28"/>
        </w:rPr>
      </w:pPr>
      <w:r>
        <w:rPr>
          <w:rFonts w:hint="eastAsia" w:ascii="仿宋_GB2312" w:hAnsi="宋体" w:eastAsia="仿宋_GB2312" w:cs="Arial"/>
          <w:sz w:val="28"/>
          <w:szCs w:val="28"/>
        </w:rPr>
        <w:t>附：法定代表人身份证复印件</w:t>
      </w:r>
    </w:p>
    <w:p>
      <w:pPr>
        <w:spacing w:line="360" w:lineRule="auto"/>
        <w:ind w:firstLine="560" w:firstLineChars="200"/>
        <w:rPr>
          <w:rFonts w:hint="eastAsia" w:ascii="仿宋_GB2312" w:hAnsi="宋体" w:eastAsia="仿宋_GB2312" w:cs="Arial"/>
          <w:sz w:val="28"/>
          <w:szCs w:val="28"/>
        </w:rPr>
      </w:pPr>
    </w:p>
    <w:p>
      <w:pPr>
        <w:spacing w:line="360" w:lineRule="auto"/>
        <w:ind w:left="988" w:leftChars="464" w:right="1120" w:hanging="14" w:hangingChars="5"/>
        <w:rPr>
          <w:rFonts w:hint="eastAsia" w:ascii="仿宋_GB2312" w:hAnsi="宋体" w:eastAsia="仿宋_GB2312" w:cs="Arial"/>
          <w:sz w:val="28"/>
          <w:szCs w:val="28"/>
        </w:rPr>
      </w:pPr>
      <w:r>
        <w:rPr>
          <w:rFonts w:hint="eastAsia" w:ascii="仿宋_GB2312" w:hAnsi="宋体" w:eastAsia="仿宋_GB2312" w:cs="Arial"/>
          <w:sz w:val="28"/>
          <w:szCs w:val="28"/>
        </w:rPr>
        <w:t>供应商：</w:t>
      </w:r>
      <w:r>
        <w:rPr>
          <w:rFonts w:hint="eastAsia" w:ascii="仿宋_GB2312" w:hAnsi="宋体" w:eastAsia="仿宋_GB2312" w:cs="Arial"/>
          <w:sz w:val="28"/>
          <w:szCs w:val="28"/>
          <w:u w:val="single"/>
        </w:rPr>
        <w:t>（盖公章）</w:t>
      </w:r>
    </w:p>
    <w:p>
      <w:pPr>
        <w:wordWrap w:val="0"/>
        <w:spacing w:line="360" w:lineRule="auto"/>
        <w:ind w:firstLine="560" w:firstLineChars="200"/>
        <w:jc w:val="right"/>
        <w:rPr>
          <w:rFonts w:hint="eastAsia" w:ascii="仿宋_GB2312" w:hAnsi="宋体" w:eastAsia="仿宋_GB2312" w:cs="Arial"/>
          <w:sz w:val="28"/>
          <w:szCs w:val="28"/>
        </w:rPr>
      </w:pPr>
      <w:r>
        <w:rPr>
          <w:rFonts w:hint="eastAsia" w:ascii="仿宋_GB2312" w:hAnsi="宋体" w:eastAsia="仿宋_GB2312" w:cs="Arial"/>
          <w:sz w:val="28"/>
          <w:szCs w:val="28"/>
        </w:rPr>
        <w:t>年     月    日</w:t>
      </w:r>
    </w:p>
    <w:p>
      <w:pPr>
        <w:spacing w:line="360" w:lineRule="auto"/>
        <w:ind w:firstLine="560" w:firstLineChars="200"/>
        <w:rPr>
          <w:rFonts w:hint="eastAsia" w:ascii="仿宋_GB2312" w:hAnsi="宋体" w:eastAsia="仿宋_GB2312" w:cs="Arial"/>
          <w:sz w:val="28"/>
          <w:szCs w:val="28"/>
        </w:rPr>
      </w:pPr>
      <w:r>
        <w:rPr>
          <w:rFonts w:hint="eastAsia" w:ascii="仿宋_GB2312" w:hAnsi="宋体" w:eastAsia="仿宋_GB2312" w:cs="Arial"/>
          <w:sz w:val="28"/>
          <w:szCs w:val="28"/>
        </w:rPr>
        <w:t xml:space="preserve"> </w:t>
      </w:r>
    </w:p>
    <w:p>
      <w:pPr>
        <w:spacing w:line="360" w:lineRule="auto"/>
        <w:ind w:firstLine="560" w:firstLineChars="200"/>
        <w:rPr>
          <w:rFonts w:hint="eastAsia" w:ascii="仿宋_GB2312" w:hAnsi="宋体" w:eastAsia="仿宋_GB2312" w:cs="Arial"/>
          <w:sz w:val="28"/>
          <w:szCs w:val="28"/>
        </w:rPr>
      </w:pPr>
    </w:p>
    <w:p>
      <w:pPr>
        <w:spacing w:line="360" w:lineRule="auto"/>
        <w:ind w:left="1134" w:hanging="1134" w:hangingChars="405"/>
        <w:rPr>
          <w:rFonts w:hint="eastAsia" w:ascii="仿宋_GB2312" w:hAnsi="宋体" w:eastAsia="仿宋_GB2312" w:cs="Arial"/>
          <w:sz w:val="28"/>
          <w:szCs w:val="28"/>
        </w:rPr>
      </w:pPr>
      <w:r>
        <w:rPr>
          <w:rFonts w:hint="eastAsia" w:ascii="仿宋_GB2312" w:hAnsi="宋体" w:eastAsia="仿宋_GB2312" w:cs="Arial"/>
          <w:sz w:val="28"/>
          <w:szCs w:val="28"/>
        </w:rPr>
        <w:t xml:space="preserve">注： </w:t>
      </w:r>
    </w:p>
    <w:p>
      <w:pPr>
        <w:spacing w:line="360" w:lineRule="auto"/>
        <w:ind w:left="142" w:hanging="142"/>
        <w:rPr>
          <w:rFonts w:hint="eastAsia" w:ascii="仿宋_GB2312" w:hAnsi="宋体" w:eastAsia="仿宋_GB2312" w:cs="Arial"/>
          <w:sz w:val="28"/>
          <w:szCs w:val="28"/>
        </w:rPr>
      </w:pPr>
      <w:r>
        <w:rPr>
          <w:rFonts w:hint="eastAsia" w:ascii="仿宋_GB2312" w:hAnsi="宋体" w:eastAsia="仿宋_GB2312" w:cs="Arial"/>
          <w:sz w:val="28"/>
          <w:szCs w:val="28"/>
        </w:rPr>
        <w:t>1.法定代表人在递交竞争性谈判响应文件时，应携带供应商企业法人营业执照副本原件、法定代表人身份证原件备查。</w:t>
      </w:r>
    </w:p>
    <w:p>
      <w:pPr>
        <w:tabs>
          <w:tab w:val="left" w:pos="720"/>
          <w:tab w:val="left" w:pos="840"/>
        </w:tabs>
        <w:spacing w:line="360" w:lineRule="auto"/>
        <w:jc w:val="left"/>
        <w:outlineLvl w:val="2"/>
        <w:rPr>
          <w:rFonts w:hint="eastAsia" w:ascii="仿宋_GB2312" w:hAnsi="宋体" w:eastAsia="仿宋_GB2312"/>
          <w:sz w:val="28"/>
          <w:szCs w:val="28"/>
        </w:rPr>
      </w:pPr>
      <w:r>
        <w:rPr>
          <w:rFonts w:hint="eastAsia" w:ascii="仿宋_GB2312" w:hAnsi="宋体" w:eastAsia="仿宋_GB2312" w:cs="Arial"/>
          <w:sz w:val="28"/>
          <w:szCs w:val="28"/>
        </w:rPr>
        <w:t>2.法定代表人提供的证件、证明不齐或不符合要求的，竞争性谈判响应文件不予接收。</w:t>
      </w:r>
      <w:r>
        <w:rPr>
          <w:rFonts w:ascii="仿宋_GB2312" w:hAnsi="宋体" w:eastAsia="仿宋_GB2312"/>
          <w:sz w:val="28"/>
          <w:szCs w:val="28"/>
        </w:rPr>
        <w:br w:type="page"/>
      </w:r>
      <w:r>
        <w:rPr>
          <w:rFonts w:hint="eastAsia" w:ascii="仿宋_GB2312" w:hAnsi="宋体" w:eastAsia="仿宋_GB2312"/>
          <w:sz w:val="28"/>
          <w:szCs w:val="28"/>
        </w:rPr>
        <w:t>（四）供应商法定代表人授权书</w:t>
      </w:r>
      <w:bookmarkEnd w:id="37"/>
      <w:bookmarkEnd w:id="38"/>
      <w:bookmarkEnd w:id="39"/>
      <w:bookmarkEnd w:id="40"/>
      <w:bookmarkEnd w:id="41"/>
      <w:bookmarkEnd w:id="42"/>
      <w:bookmarkEnd w:id="43"/>
      <w:bookmarkEnd w:id="44"/>
      <w:bookmarkEnd w:id="45"/>
    </w:p>
    <w:p>
      <w:pPr>
        <w:tabs>
          <w:tab w:val="left" w:pos="720"/>
          <w:tab w:val="left" w:pos="840"/>
        </w:tabs>
        <w:spacing w:line="360" w:lineRule="auto"/>
        <w:outlineLvl w:val="2"/>
        <w:rPr>
          <w:rFonts w:hint="eastAsia" w:ascii="仿宋_GB2312" w:hAnsi="宋体" w:eastAsia="仿宋_GB2312"/>
          <w:b/>
          <w:sz w:val="28"/>
          <w:szCs w:val="28"/>
        </w:rPr>
      </w:pPr>
    </w:p>
    <w:p>
      <w:pPr>
        <w:spacing w:line="360" w:lineRule="auto"/>
        <w:jc w:val="center"/>
        <w:rPr>
          <w:rFonts w:hint="eastAsia" w:ascii="仿宋_GB2312" w:hAnsi="宋体" w:eastAsia="仿宋_GB2312" w:cs="Arial"/>
          <w:b/>
          <w:sz w:val="28"/>
          <w:szCs w:val="28"/>
        </w:rPr>
      </w:pPr>
      <w:r>
        <w:rPr>
          <w:rFonts w:hint="eastAsia" w:ascii="仿宋_GB2312" w:hAnsi="宋体" w:eastAsia="仿宋_GB2312" w:cs="Arial"/>
          <w:b/>
          <w:sz w:val="28"/>
          <w:szCs w:val="28"/>
        </w:rPr>
        <w:t>法定代表人授权书</w:t>
      </w:r>
    </w:p>
    <w:p>
      <w:pPr>
        <w:tabs>
          <w:tab w:val="left" w:pos="720"/>
          <w:tab w:val="left" w:pos="840"/>
        </w:tabs>
        <w:spacing w:line="360" w:lineRule="auto"/>
        <w:outlineLvl w:val="2"/>
        <w:rPr>
          <w:rFonts w:hint="eastAsia" w:ascii="仿宋_GB2312" w:hAnsi="仿宋" w:eastAsia="仿宋_GB2312" w:cs="Arial"/>
          <w:sz w:val="28"/>
          <w:szCs w:val="28"/>
        </w:rPr>
      </w:pPr>
    </w:p>
    <w:p>
      <w:pPr>
        <w:spacing w:line="360" w:lineRule="auto"/>
        <w:rPr>
          <w:rFonts w:hint="eastAsia" w:ascii="仿宋_GB2312" w:hAnsi="宋体" w:eastAsia="仿宋_GB2312" w:cs="Arial"/>
          <w:sz w:val="28"/>
          <w:szCs w:val="28"/>
        </w:rPr>
      </w:pPr>
      <w:r>
        <w:rPr>
          <w:rFonts w:hint="eastAsia" w:ascii="仿宋_GB2312" w:hAnsi="宋体" w:eastAsia="仿宋_GB2312" w:cs="Arial"/>
          <w:sz w:val="28"/>
          <w:szCs w:val="28"/>
        </w:rPr>
        <w:t>XX公司：</w:t>
      </w:r>
    </w:p>
    <w:p>
      <w:pPr>
        <w:pStyle w:val="84"/>
        <w:ind w:firstLine="560" w:firstLineChars="200"/>
        <w:jc w:val="left"/>
        <w:rPr>
          <w:rFonts w:hint="eastAsia" w:cs="Arial"/>
          <w:b w:val="0"/>
          <w:kern w:val="2"/>
          <w:sz w:val="28"/>
          <w:szCs w:val="28"/>
        </w:rPr>
      </w:pPr>
      <w:r>
        <w:rPr>
          <w:rFonts w:hint="eastAsia" w:cs="Arial"/>
          <w:b w:val="0"/>
          <w:kern w:val="2"/>
          <w:sz w:val="28"/>
          <w:szCs w:val="28"/>
        </w:rPr>
        <w:t xml:space="preserve">  </w:t>
      </w:r>
      <w:r>
        <w:rPr>
          <w:rFonts w:hint="eastAsia" w:cs="Arial"/>
          <w:b w:val="0"/>
          <w:kern w:val="2"/>
          <w:sz w:val="28"/>
          <w:szCs w:val="28"/>
          <w:u w:val="single"/>
        </w:rPr>
        <w:t xml:space="preserve">               </w:t>
      </w:r>
      <w:r>
        <w:rPr>
          <w:rFonts w:hint="eastAsia" w:cs="Arial"/>
          <w:b w:val="0"/>
          <w:kern w:val="2"/>
          <w:sz w:val="28"/>
          <w:szCs w:val="28"/>
        </w:rPr>
        <w:t>（供应商全称）</w:t>
      </w:r>
      <w:r>
        <w:rPr>
          <w:rFonts w:hint="eastAsia" w:cs="Arial"/>
          <w:b w:val="0"/>
          <w:kern w:val="2"/>
          <w:sz w:val="28"/>
          <w:szCs w:val="28"/>
          <w:u w:val="single"/>
        </w:rPr>
        <w:t xml:space="preserve">  　 　   </w:t>
      </w:r>
      <w:r>
        <w:rPr>
          <w:rFonts w:hint="eastAsia" w:cs="Arial"/>
          <w:b w:val="0"/>
          <w:kern w:val="2"/>
          <w:sz w:val="28"/>
          <w:szCs w:val="28"/>
        </w:rPr>
        <w:t>（法定代表人姓名）特授权</w:t>
      </w:r>
      <w:r>
        <w:rPr>
          <w:rFonts w:hint="eastAsia" w:cs="Arial"/>
          <w:b w:val="0"/>
          <w:kern w:val="2"/>
          <w:sz w:val="28"/>
          <w:szCs w:val="28"/>
          <w:u w:val="single"/>
        </w:rPr>
        <w:t xml:space="preserve">         </w:t>
      </w:r>
      <w:r>
        <w:rPr>
          <w:rFonts w:hint="eastAsia" w:cs="Arial"/>
          <w:b w:val="0"/>
          <w:kern w:val="2"/>
          <w:sz w:val="28"/>
          <w:szCs w:val="28"/>
        </w:rPr>
        <w:t>（被授权人姓名）代表我公司，针对本项目的竞争性谈判和中选后的合同签订与执行等具体工作，并签订全部有关的文件、合同，我公司对被授权人的行为负全部责任。</w:t>
      </w:r>
    </w:p>
    <w:p>
      <w:pPr>
        <w:pStyle w:val="84"/>
        <w:ind w:firstLine="560" w:firstLineChars="200"/>
        <w:jc w:val="left"/>
        <w:rPr>
          <w:rFonts w:hint="eastAsia" w:cs="Arial"/>
          <w:b w:val="0"/>
          <w:kern w:val="2"/>
          <w:sz w:val="28"/>
          <w:szCs w:val="28"/>
        </w:rPr>
      </w:pPr>
      <w:r>
        <w:rPr>
          <w:rFonts w:hint="eastAsia" w:cs="Arial"/>
          <w:b w:val="0"/>
          <w:kern w:val="2"/>
          <w:sz w:val="28"/>
          <w:szCs w:val="28"/>
        </w:rPr>
        <w:t>本授权书于</w:t>
      </w:r>
      <w:r>
        <w:rPr>
          <w:rFonts w:hint="eastAsia" w:cs="Arial"/>
          <w:b w:val="0"/>
          <w:kern w:val="2"/>
          <w:sz w:val="28"/>
          <w:szCs w:val="28"/>
          <w:u w:val="single"/>
        </w:rPr>
        <w:t xml:space="preserve">          </w:t>
      </w:r>
      <w:r>
        <w:rPr>
          <w:rFonts w:hint="eastAsia" w:cs="Arial"/>
          <w:b w:val="0"/>
          <w:kern w:val="2"/>
          <w:sz w:val="28"/>
          <w:szCs w:val="28"/>
        </w:rPr>
        <w:t>年</w:t>
      </w:r>
      <w:r>
        <w:rPr>
          <w:rFonts w:hint="eastAsia" w:cs="Arial"/>
          <w:b w:val="0"/>
          <w:kern w:val="2"/>
          <w:sz w:val="28"/>
          <w:szCs w:val="28"/>
          <w:u w:val="single"/>
        </w:rPr>
        <w:t xml:space="preserve">       </w:t>
      </w:r>
      <w:r>
        <w:rPr>
          <w:rFonts w:hint="eastAsia" w:cs="Arial"/>
          <w:b w:val="0"/>
          <w:kern w:val="2"/>
          <w:sz w:val="28"/>
          <w:szCs w:val="28"/>
        </w:rPr>
        <w:t>月</w:t>
      </w:r>
      <w:r>
        <w:rPr>
          <w:rFonts w:hint="eastAsia" w:cs="Arial"/>
          <w:b w:val="0"/>
          <w:kern w:val="2"/>
          <w:sz w:val="28"/>
          <w:szCs w:val="28"/>
          <w:u w:val="single"/>
        </w:rPr>
        <w:t xml:space="preserve">     </w:t>
      </w:r>
      <w:r>
        <w:rPr>
          <w:rFonts w:hint="eastAsia" w:cs="Arial"/>
          <w:b w:val="0"/>
          <w:kern w:val="2"/>
          <w:sz w:val="28"/>
          <w:szCs w:val="28"/>
        </w:rPr>
        <w:t>日签字生效。在撤消授权的书面通知到达之前，本授权书一直有效，被授权人在授权书有效期内签署的所有文件不因授权的撤消而失效。</w:t>
      </w:r>
    </w:p>
    <w:p>
      <w:pPr>
        <w:pStyle w:val="84"/>
        <w:ind w:firstLine="560" w:firstLineChars="200"/>
        <w:jc w:val="left"/>
        <w:rPr>
          <w:rFonts w:hint="eastAsia" w:cs="Arial"/>
          <w:b w:val="0"/>
          <w:kern w:val="2"/>
          <w:sz w:val="28"/>
          <w:szCs w:val="28"/>
        </w:rPr>
      </w:pPr>
    </w:p>
    <w:p>
      <w:pPr>
        <w:spacing w:line="360" w:lineRule="auto"/>
        <w:rPr>
          <w:rFonts w:hint="eastAsia" w:ascii="仿宋_GB2312" w:hAnsi="宋体" w:eastAsia="仿宋_GB2312" w:cs="Arial"/>
          <w:sz w:val="28"/>
          <w:szCs w:val="28"/>
          <w:u w:val="single"/>
        </w:rPr>
      </w:pPr>
      <w:r>
        <w:rPr>
          <w:rFonts w:hint="eastAsia" w:ascii="仿宋_GB2312" w:hAnsi="宋体" w:eastAsia="仿宋_GB2312" w:cs="Arial"/>
          <w:sz w:val="28"/>
          <w:szCs w:val="28"/>
        </w:rPr>
        <w:t>被授权人：</w:t>
      </w:r>
      <w:r>
        <w:rPr>
          <w:rFonts w:hint="eastAsia" w:ascii="仿宋_GB2312" w:hAnsi="宋体" w:eastAsia="仿宋_GB2312" w:cs="Arial"/>
          <w:sz w:val="28"/>
          <w:szCs w:val="28"/>
          <w:u w:val="single"/>
        </w:rPr>
        <w:t xml:space="preserve">（签名）     </w:t>
      </w:r>
      <w:r>
        <w:rPr>
          <w:rFonts w:hint="eastAsia" w:ascii="仿宋_GB2312" w:hAnsi="宋体" w:eastAsia="仿宋_GB2312" w:cs="Arial"/>
          <w:sz w:val="28"/>
          <w:szCs w:val="28"/>
        </w:rPr>
        <w:t xml:space="preserve">       供应商：</w:t>
      </w:r>
      <w:r>
        <w:rPr>
          <w:rFonts w:hint="eastAsia" w:ascii="仿宋_GB2312" w:hAnsi="宋体" w:eastAsia="仿宋_GB2312" w:cs="Arial"/>
          <w:sz w:val="28"/>
          <w:szCs w:val="28"/>
          <w:u w:val="single"/>
        </w:rPr>
        <w:t>（盖公章）</w:t>
      </w:r>
    </w:p>
    <w:p>
      <w:pPr>
        <w:spacing w:line="360" w:lineRule="auto"/>
        <w:ind w:firstLine="4060" w:firstLineChars="1450"/>
        <w:rPr>
          <w:rFonts w:hint="eastAsia" w:ascii="仿宋_GB2312" w:hAnsi="宋体" w:eastAsia="仿宋_GB2312" w:cs="Arial"/>
          <w:sz w:val="28"/>
          <w:szCs w:val="28"/>
          <w:u w:val="single"/>
        </w:rPr>
      </w:pPr>
      <w:r>
        <w:rPr>
          <w:rFonts w:hint="eastAsia" w:ascii="仿宋_GB2312" w:hAnsi="宋体" w:eastAsia="仿宋_GB2312" w:cs="Arial"/>
          <w:sz w:val="28"/>
          <w:szCs w:val="28"/>
        </w:rPr>
        <w:t>法定代表人</w:t>
      </w:r>
      <w:r>
        <w:rPr>
          <w:rFonts w:hint="eastAsia" w:ascii="仿宋_GB2312" w:hAnsi="宋体" w:eastAsia="仿宋_GB2312" w:cs="Arial"/>
          <w:sz w:val="28"/>
          <w:szCs w:val="28"/>
          <w:u w:val="single"/>
        </w:rPr>
        <w:t xml:space="preserve">（签名）    </w:t>
      </w:r>
    </w:p>
    <w:p>
      <w:pPr>
        <w:spacing w:line="360" w:lineRule="auto"/>
        <w:ind w:firstLine="560" w:firstLineChars="200"/>
        <w:rPr>
          <w:rFonts w:hint="eastAsia" w:ascii="仿宋_GB2312" w:hAnsi="宋体" w:eastAsia="仿宋_GB2312" w:cs="Arial"/>
          <w:sz w:val="28"/>
          <w:szCs w:val="28"/>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0"/>
        <w:gridCol w:w="1319"/>
        <w:gridCol w:w="3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3" w:hRule="atLeast"/>
        </w:trPr>
        <w:tc>
          <w:tcPr>
            <w:tcW w:w="3910" w:type="dxa"/>
            <w:noWrap w:val="0"/>
            <w:vAlign w:val="center"/>
          </w:tcPr>
          <w:p>
            <w:pPr>
              <w:jc w:val="center"/>
              <w:rPr>
                <w:rFonts w:hint="eastAsia" w:ascii="仿宋_GB2312" w:eastAsia="仿宋_GB2312"/>
              </w:rPr>
            </w:pPr>
            <w:r>
              <w:rPr>
                <w:rFonts w:hint="eastAsia" w:ascii="仿宋_GB2312" w:eastAsia="仿宋_GB2312"/>
              </w:rPr>
              <w:t>授权人身份证复印件</w:t>
            </w:r>
          </w:p>
        </w:tc>
        <w:tc>
          <w:tcPr>
            <w:tcW w:w="1319" w:type="dxa"/>
            <w:tcBorders>
              <w:top w:val="nil"/>
              <w:bottom w:val="nil"/>
            </w:tcBorders>
            <w:noWrap w:val="0"/>
            <w:vAlign w:val="top"/>
          </w:tcPr>
          <w:p>
            <w:pPr>
              <w:jc w:val="center"/>
              <w:rPr>
                <w:rFonts w:hint="eastAsia" w:ascii="仿宋_GB2312" w:eastAsia="仿宋_GB2312"/>
              </w:rPr>
            </w:pPr>
          </w:p>
        </w:tc>
        <w:tc>
          <w:tcPr>
            <w:tcW w:w="3774" w:type="dxa"/>
            <w:noWrap w:val="0"/>
            <w:vAlign w:val="center"/>
          </w:tcPr>
          <w:p>
            <w:pPr>
              <w:jc w:val="center"/>
              <w:rPr>
                <w:rFonts w:hint="eastAsia" w:ascii="仿宋_GB2312" w:eastAsia="仿宋_GB2312"/>
              </w:rPr>
            </w:pPr>
            <w:r>
              <w:rPr>
                <w:rFonts w:hint="eastAsia" w:ascii="仿宋_GB2312" w:eastAsia="仿宋_GB2312"/>
              </w:rPr>
              <w:t>被授权人身份证复印件</w:t>
            </w:r>
          </w:p>
        </w:tc>
      </w:tr>
    </w:tbl>
    <w:p>
      <w:pPr>
        <w:spacing w:line="360" w:lineRule="auto"/>
        <w:ind w:firstLine="560" w:firstLineChars="200"/>
        <w:rPr>
          <w:rFonts w:hint="eastAsia" w:ascii="仿宋_GB2312" w:hAnsi="宋体" w:eastAsia="仿宋_GB2312" w:cs="Arial"/>
          <w:sz w:val="28"/>
          <w:szCs w:val="28"/>
        </w:rPr>
      </w:pPr>
    </w:p>
    <w:p>
      <w:pPr>
        <w:spacing w:line="360" w:lineRule="auto"/>
        <w:ind w:firstLine="560" w:firstLineChars="200"/>
        <w:rPr>
          <w:rFonts w:hint="eastAsia" w:ascii="仿宋_GB2312" w:hAnsi="宋体" w:eastAsia="仿宋_GB2312" w:cs="Arial"/>
          <w:sz w:val="28"/>
          <w:szCs w:val="28"/>
        </w:rPr>
      </w:pPr>
      <w:r>
        <w:rPr>
          <w:rFonts w:hint="eastAsia" w:ascii="仿宋_GB2312" w:hAnsi="宋体" w:eastAsia="仿宋_GB2312" w:cs="Arial"/>
          <w:sz w:val="28"/>
          <w:szCs w:val="28"/>
        </w:rPr>
        <w:t xml:space="preserve">                               年    月    日</w:t>
      </w:r>
    </w:p>
    <w:p>
      <w:pPr>
        <w:spacing w:line="360" w:lineRule="auto"/>
        <w:ind w:left="142"/>
        <w:rPr>
          <w:rFonts w:hint="eastAsia" w:ascii="仿宋_GB2312" w:hAnsi="宋体" w:eastAsia="仿宋_GB2312" w:cs="Arial"/>
          <w:sz w:val="28"/>
          <w:szCs w:val="28"/>
        </w:rPr>
      </w:pPr>
      <w:r>
        <w:rPr>
          <w:rFonts w:hint="eastAsia" w:ascii="仿宋_GB2312" w:hAnsi="宋体" w:eastAsia="仿宋_GB2312" w:cs="Arial"/>
          <w:sz w:val="28"/>
          <w:szCs w:val="28"/>
        </w:rPr>
        <w:t>注：</w:t>
      </w:r>
    </w:p>
    <w:p>
      <w:pPr>
        <w:tabs>
          <w:tab w:val="left" w:pos="720"/>
          <w:tab w:val="left" w:pos="840"/>
        </w:tabs>
        <w:spacing w:line="360" w:lineRule="auto"/>
        <w:outlineLvl w:val="2"/>
        <w:rPr>
          <w:rFonts w:hint="eastAsia" w:ascii="仿宋_GB2312" w:hAnsi="宋体" w:eastAsia="仿宋_GB2312"/>
          <w:sz w:val="28"/>
          <w:szCs w:val="28"/>
        </w:rPr>
      </w:pPr>
      <w:r>
        <w:rPr>
          <w:rFonts w:hint="eastAsia" w:ascii="仿宋_GB2312" w:hAnsi="宋体" w:eastAsia="仿宋_GB2312"/>
          <w:sz w:val="28"/>
          <w:szCs w:val="28"/>
        </w:rPr>
        <w:t xml:space="preserve"> 本授权书适用于法定代表人不亲自参加竞争性谈判的。</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r>
        <w:rPr>
          <w:rFonts w:hint="eastAsia" w:ascii="仿宋_GB2312" w:hAnsi="宋体" w:eastAsia="仿宋_GB2312"/>
          <w:sz w:val="28"/>
          <w:szCs w:val="28"/>
        </w:rPr>
        <w:t>（五）</w:t>
      </w:r>
      <w:r>
        <w:rPr>
          <w:rFonts w:hint="eastAsia" w:ascii="仿宋_GB2312" w:hAnsi="仿宋" w:eastAsia="仿宋_GB2312"/>
          <w:color w:val="000000"/>
          <w:sz w:val="28"/>
          <w:szCs w:val="28"/>
        </w:rPr>
        <w:t>供应商企业基本情况（企业规模、财务状况、项目团队等）</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p>
    <w:p>
      <w:pPr>
        <w:tabs>
          <w:tab w:val="left" w:pos="720"/>
          <w:tab w:val="left" w:pos="840"/>
        </w:tabs>
        <w:spacing w:line="360" w:lineRule="auto"/>
        <w:outlineLvl w:val="2"/>
        <w:rPr>
          <w:rFonts w:hint="eastAsia" w:ascii="仿宋_GB2312" w:hAnsi="宋体" w:eastAsia="仿宋_GB2312"/>
          <w:sz w:val="28"/>
          <w:szCs w:val="28"/>
        </w:rPr>
      </w:pPr>
      <w:r>
        <w:rPr>
          <w:rFonts w:hint="eastAsia" w:ascii="仿宋_GB2312" w:hAnsi="宋体" w:eastAsia="仿宋_GB2312"/>
          <w:sz w:val="28"/>
          <w:szCs w:val="28"/>
        </w:rPr>
        <w:t>（六）供应商业绩项目一览表</w:t>
      </w:r>
    </w:p>
    <w:p>
      <w:pPr>
        <w:spacing w:line="360" w:lineRule="auto"/>
        <w:jc w:val="center"/>
        <w:rPr>
          <w:rFonts w:hint="eastAsia" w:ascii="仿宋_GB2312" w:eastAsia="仿宋_GB2312"/>
          <w:b/>
          <w:sz w:val="22"/>
        </w:rPr>
      </w:pPr>
      <w:r>
        <w:rPr>
          <w:rFonts w:hint="eastAsia" w:ascii="仿宋_GB2312" w:hAnsi="宋体" w:eastAsia="仿宋_GB2312" w:cs="MingLiU"/>
          <w:b/>
          <w:spacing w:val="-6"/>
          <w:sz w:val="28"/>
          <w:szCs w:val="30"/>
        </w:rPr>
        <w:t>近</w:t>
      </w:r>
      <w:r>
        <w:rPr>
          <w:rFonts w:hint="eastAsia" w:ascii="仿宋_GB2312" w:hAnsi="宋体" w:eastAsia="仿宋_GB2312" w:cs="MingLiU"/>
          <w:b/>
          <w:sz w:val="28"/>
          <w:szCs w:val="30"/>
        </w:rPr>
        <w:t>3年</w:t>
      </w:r>
      <w:r>
        <w:rPr>
          <w:rFonts w:hint="eastAsia" w:ascii="仿宋_GB2312" w:hAnsi="宋体" w:eastAsia="仿宋_GB2312" w:cs="MingLiU"/>
          <w:b/>
          <w:spacing w:val="-6"/>
          <w:sz w:val="28"/>
          <w:szCs w:val="30"/>
        </w:rPr>
        <w:t>完</w:t>
      </w:r>
      <w:r>
        <w:rPr>
          <w:rFonts w:hint="eastAsia" w:ascii="仿宋_GB2312" w:hAnsi="宋体" w:eastAsia="仿宋_GB2312" w:cs="MingLiU"/>
          <w:b/>
          <w:sz w:val="28"/>
          <w:szCs w:val="30"/>
        </w:rPr>
        <w:t>成</w:t>
      </w:r>
      <w:r>
        <w:rPr>
          <w:rFonts w:hint="eastAsia" w:ascii="仿宋_GB2312" w:hAnsi="宋体" w:eastAsia="仿宋_GB2312" w:cs="MingLiU"/>
          <w:b/>
          <w:spacing w:val="-6"/>
          <w:sz w:val="28"/>
          <w:szCs w:val="30"/>
        </w:rPr>
        <w:t>的</w:t>
      </w:r>
      <w:r>
        <w:rPr>
          <w:rFonts w:hint="eastAsia" w:ascii="仿宋_GB2312" w:hAnsi="宋体" w:eastAsia="仿宋_GB2312" w:cs="MingLiU"/>
          <w:b/>
          <w:sz w:val="28"/>
          <w:szCs w:val="30"/>
        </w:rPr>
        <w:t>类</w:t>
      </w:r>
      <w:r>
        <w:rPr>
          <w:rFonts w:hint="eastAsia" w:ascii="仿宋_GB2312" w:hAnsi="宋体" w:eastAsia="仿宋_GB2312" w:cs="MingLiU"/>
          <w:b/>
          <w:spacing w:val="-6"/>
          <w:sz w:val="28"/>
          <w:szCs w:val="30"/>
        </w:rPr>
        <w:t>似</w:t>
      </w:r>
      <w:r>
        <w:rPr>
          <w:rFonts w:hint="eastAsia" w:ascii="仿宋_GB2312" w:hAnsi="宋体" w:eastAsia="仿宋_GB2312" w:cs="MingLiU"/>
          <w:b/>
          <w:sz w:val="28"/>
          <w:szCs w:val="30"/>
        </w:rPr>
        <w:t>项</w:t>
      </w:r>
      <w:r>
        <w:rPr>
          <w:rFonts w:hint="eastAsia" w:ascii="仿宋_GB2312" w:hAnsi="宋体" w:eastAsia="仿宋_GB2312" w:cs="MingLiU"/>
          <w:b/>
          <w:spacing w:val="-6"/>
          <w:sz w:val="28"/>
          <w:szCs w:val="30"/>
        </w:rPr>
        <w:t>目</w:t>
      </w:r>
      <w:r>
        <w:rPr>
          <w:rFonts w:hint="eastAsia" w:ascii="仿宋_GB2312" w:hAnsi="宋体" w:eastAsia="仿宋_GB2312" w:cs="MingLiU"/>
          <w:b/>
          <w:sz w:val="28"/>
          <w:szCs w:val="30"/>
        </w:rPr>
        <w:t>情</w:t>
      </w:r>
      <w:r>
        <w:rPr>
          <w:rFonts w:hint="eastAsia" w:ascii="仿宋_GB2312" w:hAnsi="宋体" w:eastAsia="仿宋_GB2312" w:cs="MingLiU"/>
          <w:b/>
          <w:spacing w:val="-6"/>
          <w:sz w:val="28"/>
          <w:szCs w:val="30"/>
        </w:rPr>
        <w:t>况</w:t>
      </w:r>
      <w:r>
        <w:rPr>
          <w:rFonts w:hint="eastAsia" w:ascii="仿宋_GB2312" w:hAnsi="宋体" w:eastAsia="仿宋_GB2312" w:cs="MingLiU"/>
          <w:b/>
          <w:sz w:val="28"/>
          <w:szCs w:val="30"/>
        </w:rPr>
        <w:t>表（可调整）</w:t>
      </w:r>
    </w:p>
    <w:tbl>
      <w:tblPr>
        <w:tblStyle w:val="39"/>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620"/>
        <w:gridCol w:w="1440"/>
        <w:gridCol w:w="1607"/>
        <w:gridCol w:w="1417"/>
        <w:gridCol w:w="1276"/>
        <w:gridCol w:w="15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序号</w:t>
            </w:r>
          </w:p>
        </w:tc>
        <w:tc>
          <w:tcPr>
            <w:tcW w:w="1620" w:type="dxa"/>
            <w:noWrap w:val="0"/>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项目名称</w:t>
            </w:r>
          </w:p>
        </w:tc>
        <w:tc>
          <w:tcPr>
            <w:tcW w:w="1440" w:type="dxa"/>
            <w:noWrap w:val="0"/>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项目建设方</w:t>
            </w:r>
          </w:p>
        </w:tc>
        <w:tc>
          <w:tcPr>
            <w:tcW w:w="1607" w:type="dxa"/>
            <w:noWrap w:val="0"/>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项目建设方</w:t>
            </w:r>
          </w:p>
          <w:p>
            <w:pPr>
              <w:spacing w:line="400" w:lineRule="exact"/>
              <w:jc w:val="center"/>
              <w:rPr>
                <w:rFonts w:hint="eastAsia" w:ascii="仿宋_GB2312" w:hAnsi="宋体" w:eastAsia="仿宋_GB2312"/>
                <w:szCs w:val="21"/>
              </w:rPr>
            </w:pPr>
            <w:r>
              <w:rPr>
                <w:rFonts w:hint="eastAsia" w:ascii="仿宋_GB2312" w:hAnsi="宋体" w:eastAsia="仿宋_GB2312"/>
                <w:szCs w:val="21"/>
              </w:rPr>
              <w:t>联系人及电话</w:t>
            </w:r>
          </w:p>
        </w:tc>
        <w:tc>
          <w:tcPr>
            <w:tcW w:w="1417" w:type="dxa"/>
            <w:noWrap w:val="0"/>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项目总金额</w:t>
            </w:r>
          </w:p>
          <w:p>
            <w:pPr>
              <w:spacing w:line="400" w:lineRule="exact"/>
              <w:jc w:val="center"/>
              <w:rPr>
                <w:rFonts w:hint="eastAsia" w:ascii="仿宋_GB2312" w:hAnsi="宋体" w:eastAsia="仿宋_GB2312"/>
                <w:szCs w:val="21"/>
              </w:rPr>
            </w:pPr>
            <w:r>
              <w:rPr>
                <w:rFonts w:hint="eastAsia" w:ascii="仿宋_GB2312" w:hAnsi="宋体" w:eastAsia="仿宋_GB2312"/>
                <w:szCs w:val="21"/>
              </w:rPr>
              <w:t>（元）</w:t>
            </w:r>
          </w:p>
        </w:tc>
        <w:tc>
          <w:tcPr>
            <w:tcW w:w="1276" w:type="dxa"/>
            <w:noWrap w:val="0"/>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合同号</w:t>
            </w:r>
          </w:p>
        </w:tc>
        <w:tc>
          <w:tcPr>
            <w:tcW w:w="1560" w:type="dxa"/>
            <w:noWrap w:val="0"/>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项目内容简介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noWrap w:val="0"/>
            <w:vAlign w:val="top"/>
          </w:tcPr>
          <w:p>
            <w:pPr>
              <w:spacing w:line="400" w:lineRule="exact"/>
              <w:rPr>
                <w:rFonts w:hint="eastAsia" w:ascii="仿宋_GB2312" w:hAnsi="宋体" w:eastAsia="仿宋_GB2312"/>
                <w:szCs w:val="21"/>
              </w:rPr>
            </w:pPr>
          </w:p>
        </w:tc>
        <w:tc>
          <w:tcPr>
            <w:tcW w:w="1620" w:type="dxa"/>
            <w:noWrap w:val="0"/>
            <w:vAlign w:val="top"/>
          </w:tcPr>
          <w:p>
            <w:pPr>
              <w:spacing w:line="400" w:lineRule="exact"/>
              <w:rPr>
                <w:rFonts w:hint="eastAsia" w:ascii="仿宋_GB2312" w:hAnsi="宋体" w:eastAsia="仿宋_GB2312"/>
                <w:szCs w:val="21"/>
              </w:rPr>
            </w:pPr>
          </w:p>
        </w:tc>
        <w:tc>
          <w:tcPr>
            <w:tcW w:w="1440" w:type="dxa"/>
            <w:noWrap w:val="0"/>
            <w:vAlign w:val="top"/>
          </w:tcPr>
          <w:p>
            <w:pPr>
              <w:spacing w:line="400" w:lineRule="exact"/>
              <w:rPr>
                <w:rFonts w:hint="eastAsia" w:ascii="仿宋_GB2312" w:hAnsi="宋体" w:eastAsia="仿宋_GB2312"/>
                <w:szCs w:val="21"/>
              </w:rPr>
            </w:pPr>
          </w:p>
        </w:tc>
        <w:tc>
          <w:tcPr>
            <w:tcW w:w="1607" w:type="dxa"/>
            <w:noWrap w:val="0"/>
            <w:vAlign w:val="top"/>
          </w:tcPr>
          <w:p>
            <w:pPr>
              <w:spacing w:line="400" w:lineRule="exact"/>
              <w:rPr>
                <w:rFonts w:hint="eastAsia" w:ascii="仿宋_GB2312" w:hAnsi="宋体" w:eastAsia="仿宋_GB2312"/>
                <w:szCs w:val="21"/>
              </w:rPr>
            </w:pPr>
          </w:p>
        </w:tc>
        <w:tc>
          <w:tcPr>
            <w:tcW w:w="1417" w:type="dxa"/>
            <w:noWrap w:val="0"/>
            <w:vAlign w:val="top"/>
          </w:tcPr>
          <w:p>
            <w:pPr>
              <w:spacing w:line="400" w:lineRule="exact"/>
              <w:rPr>
                <w:rFonts w:hint="eastAsia" w:ascii="仿宋_GB2312" w:hAnsi="宋体" w:eastAsia="仿宋_GB2312"/>
                <w:szCs w:val="21"/>
              </w:rPr>
            </w:pPr>
          </w:p>
        </w:tc>
        <w:tc>
          <w:tcPr>
            <w:tcW w:w="1276" w:type="dxa"/>
            <w:noWrap w:val="0"/>
            <w:vAlign w:val="top"/>
          </w:tcPr>
          <w:p>
            <w:pPr>
              <w:spacing w:line="400" w:lineRule="exact"/>
              <w:rPr>
                <w:rFonts w:hint="eastAsia" w:ascii="仿宋_GB2312" w:hAnsi="宋体" w:eastAsia="仿宋_GB2312"/>
                <w:szCs w:val="21"/>
              </w:rPr>
            </w:pPr>
          </w:p>
        </w:tc>
        <w:tc>
          <w:tcPr>
            <w:tcW w:w="1560" w:type="dxa"/>
            <w:noWrap w:val="0"/>
            <w:vAlign w:val="top"/>
          </w:tcPr>
          <w:p>
            <w:pPr>
              <w:spacing w:line="400" w:lineRule="exact"/>
              <w:rPr>
                <w:rFonts w:hint="eastAsia" w:ascii="仿宋_GB2312" w:hAnsi="宋体" w:eastAsia="仿宋_GB2312"/>
                <w:szCs w:val="21"/>
              </w:rPr>
            </w:pPr>
          </w:p>
        </w:tc>
      </w:tr>
    </w:tbl>
    <w:p>
      <w:pPr>
        <w:spacing w:line="400" w:lineRule="exact"/>
        <w:ind w:firstLine="353"/>
        <w:rPr>
          <w:rFonts w:hint="eastAsia" w:ascii="仿宋_GB2312" w:eastAsia="仿宋_GB2312"/>
        </w:rPr>
      </w:pPr>
    </w:p>
    <w:p>
      <w:pPr>
        <w:spacing w:line="400" w:lineRule="exact"/>
        <w:ind w:firstLine="353"/>
        <w:rPr>
          <w:rFonts w:hint="eastAsia" w:ascii="仿宋_GB2312" w:eastAsia="仿宋_GB2312"/>
        </w:rPr>
      </w:pPr>
    </w:p>
    <w:p>
      <w:pPr>
        <w:spacing w:line="400" w:lineRule="exact"/>
        <w:ind w:firstLine="353"/>
        <w:rPr>
          <w:rFonts w:hint="eastAsia" w:ascii="仿宋_GB2312" w:eastAsia="仿宋_GB2312"/>
          <w:sz w:val="28"/>
          <w:szCs w:val="28"/>
        </w:rPr>
      </w:pPr>
      <w:r>
        <w:rPr>
          <w:rFonts w:hint="eastAsia" w:ascii="仿宋_GB2312" w:eastAsia="仿宋_GB2312"/>
          <w:sz w:val="28"/>
          <w:szCs w:val="28"/>
        </w:rPr>
        <w:t>注：</w:t>
      </w:r>
    </w:p>
    <w:p>
      <w:pPr>
        <w:spacing w:line="400" w:lineRule="exact"/>
        <w:ind w:firstLine="353"/>
        <w:rPr>
          <w:rFonts w:hint="eastAsia" w:ascii="仿宋_GB2312" w:eastAsia="仿宋_GB2312"/>
          <w:sz w:val="28"/>
          <w:szCs w:val="28"/>
        </w:rPr>
      </w:pPr>
      <w:r>
        <w:rPr>
          <w:rFonts w:hint="eastAsia" w:ascii="仿宋_GB2312" w:eastAsia="仿宋_GB2312"/>
          <w:sz w:val="28"/>
          <w:szCs w:val="28"/>
        </w:rPr>
        <w:t>附合同证明材料。</w:t>
      </w:r>
    </w:p>
    <w:p>
      <w:pPr>
        <w:spacing w:line="400" w:lineRule="exact"/>
        <w:ind w:firstLine="353"/>
        <w:rPr>
          <w:rFonts w:hint="eastAsia" w:ascii="仿宋_GB2312" w:eastAsia="仿宋_GB2312"/>
        </w:rPr>
      </w:pPr>
    </w:p>
    <w:p>
      <w:pPr>
        <w:spacing w:line="360" w:lineRule="auto"/>
        <w:ind w:left="988" w:leftChars="464" w:hanging="14" w:hangingChars="5"/>
        <w:rPr>
          <w:rFonts w:hint="eastAsia" w:ascii="仿宋_GB2312" w:hAnsi="宋体" w:eastAsia="仿宋_GB2312" w:cs="Arial"/>
          <w:sz w:val="28"/>
          <w:szCs w:val="28"/>
          <w:u w:val="single"/>
        </w:rPr>
      </w:pPr>
      <w:r>
        <w:rPr>
          <w:rFonts w:hint="eastAsia" w:ascii="仿宋_GB2312" w:hAnsi="宋体" w:eastAsia="仿宋_GB2312" w:cs="Arial"/>
          <w:sz w:val="28"/>
          <w:szCs w:val="28"/>
        </w:rPr>
        <w:t>供应商：</w:t>
      </w:r>
      <w:r>
        <w:rPr>
          <w:rFonts w:hint="eastAsia" w:ascii="仿宋_GB2312" w:hAnsi="宋体" w:eastAsia="仿宋_GB2312" w:cs="Arial"/>
          <w:sz w:val="28"/>
          <w:szCs w:val="28"/>
          <w:u w:val="single"/>
        </w:rPr>
        <w:t>（盖公章）</w:t>
      </w:r>
    </w:p>
    <w:p>
      <w:pPr>
        <w:spacing w:line="360" w:lineRule="auto"/>
        <w:ind w:left="988" w:leftChars="464" w:hanging="14" w:hangingChars="5"/>
        <w:rPr>
          <w:rFonts w:hint="eastAsia" w:ascii="仿宋_GB2312" w:hAnsi="宋体" w:eastAsia="仿宋_GB2312" w:cs="Arial"/>
          <w:sz w:val="28"/>
          <w:szCs w:val="28"/>
        </w:rPr>
      </w:pPr>
      <w:r>
        <w:rPr>
          <w:rFonts w:hint="eastAsia" w:ascii="仿宋_GB2312" w:hAnsi="宋体" w:eastAsia="仿宋_GB2312" w:cs="Arial"/>
          <w:sz w:val="28"/>
          <w:szCs w:val="28"/>
        </w:rPr>
        <w:t>法定代表人或授权代表：</w:t>
      </w:r>
      <w:r>
        <w:rPr>
          <w:rFonts w:hint="eastAsia" w:ascii="仿宋_GB2312" w:hAnsi="宋体" w:eastAsia="仿宋_GB2312" w:cs="Arial"/>
          <w:sz w:val="28"/>
          <w:szCs w:val="28"/>
          <w:u w:val="single"/>
        </w:rPr>
        <w:t xml:space="preserve"> （签名）  </w:t>
      </w:r>
    </w:p>
    <w:p>
      <w:pPr>
        <w:spacing w:line="360" w:lineRule="auto"/>
        <w:jc w:val="right"/>
        <w:rPr>
          <w:rFonts w:hint="eastAsia" w:ascii="仿宋_GB2312" w:hAnsi="宋体" w:eastAsia="仿宋_GB2312" w:cs="Arial"/>
          <w:sz w:val="28"/>
          <w:szCs w:val="28"/>
        </w:rPr>
      </w:pPr>
      <w:r>
        <w:rPr>
          <w:rFonts w:hint="eastAsia" w:ascii="仿宋_GB2312" w:hAnsi="宋体" w:eastAsia="仿宋_GB2312" w:cs="Arial"/>
          <w:sz w:val="28"/>
          <w:szCs w:val="28"/>
        </w:rPr>
        <w:t xml:space="preserve">    </w:t>
      </w:r>
    </w:p>
    <w:p>
      <w:pPr>
        <w:spacing w:line="360" w:lineRule="auto"/>
        <w:jc w:val="right"/>
        <w:rPr>
          <w:rFonts w:hint="eastAsia" w:ascii="仿宋_GB2312" w:hAnsi="宋体" w:eastAsia="仿宋_GB2312" w:cs="Arial"/>
          <w:sz w:val="28"/>
          <w:szCs w:val="28"/>
        </w:rPr>
      </w:pPr>
    </w:p>
    <w:p>
      <w:pPr>
        <w:spacing w:line="360" w:lineRule="auto"/>
        <w:jc w:val="right"/>
        <w:rPr>
          <w:rFonts w:hint="eastAsia" w:ascii="仿宋_GB2312" w:hAnsi="宋体" w:eastAsia="仿宋_GB2312" w:cs="Arial"/>
          <w:sz w:val="28"/>
          <w:szCs w:val="28"/>
        </w:rPr>
      </w:pPr>
      <w:r>
        <w:rPr>
          <w:rFonts w:hint="eastAsia" w:ascii="仿宋_GB2312" w:hAnsi="宋体" w:eastAsia="仿宋_GB2312" w:cs="Arial"/>
          <w:sz w:val="28"/>
          <w:szCs w:val="28"/>
        </w:rPr>
        <w:t>年     月     日</w:t>
      </w:r>
    </w:p>
    <w:p>
      <w:pPr>
        <w:spacing w:line="360" w:lineRule="auto"/>
        <w:jc w:val="right"/>
        <w:rPr>
          <w:rFonts w:hint="eastAsia" w:ascii="仿宋_GB2312" w:hAnsi="宋体" w:eastAsia="仿宋_GB2312" w:cs="Arial"/>
          <w:sz w:val="28"/>
          <w:szCs w:val="28"/>
        </w:rPr>
      </w:pPr>
    </w:p>
    <w:p>
      <w:pPr>
        <w:spacing w:line="360" w:lineRule="auto"/>
        <w:jc w:val="right"/>
        <w:rPr>
          <w:rFonts w:hint="eastAsia" w:ascii="仿宋_GB2312" w:hAnsi="宋体" w:eastAsia="仿宋_GB2312" w:cs="Arial"/>
          <w:sz w:val="28"/>
          <w:szCs w:val="28"/>
        </w:rPr>
      </w:pPr>
    </w:p>
    <w:p>
      <w:pPr>
        <w:spacing w:line="360" w:lineRule="auto"/>
        <w:jc w:val="right"/>
        <w:rPr>
          <w:rFonts w:hint="eastAsia" w:ascii="仿宋_GB2312" w:hAnsi="宋体" w:eastAsia="仿宋_GB2312" w:cs="Arial"/>
          <w:sz w:val="28"/>
          <w:szCs w:val="28"/>
        </w:rPr>
      </w:pPr>
    </w:p>
    <w:p>
      <w:pPr>
        <w:pStyle w:val="4"/>
        <w:pageBreakBefore/>
        <w:rPr>
          <w:rFonts w:hint="eastAsia"/>
          <w:color w:val="000000"/>
        </w:rPr>
      </w:pPr>
      <w:bookmarkStart w:id="46" w:name="_Toc30314"/>
      <w:r>
        <w:rPr>
          <w:rFonts w:hint="eastAsia"/>
          <w:color w:val="000000"/>
        </w:rPr>
        <w:t>二、技术文件</w:t>
      </w:r>
      <w:bookmarkEnd w:id="46"/>
    </w:p>
    <w:p>
      <w:pPr>
        <w:spacing w:line="360" w:lineRule="auto"/>
        <w:rPr>
          <w:rFonts w:hint="eastAsia" w:ascii="仿宋_GB2312" w:hAnsi="仿宋" w:eastAsia="仿宋_GB2312"/>
          <w:color w:val="000000"/>
          <w:sz w:val="28"/>
          <w:szCs w:val="28"/>
        </w:rPr>
      </w:pPr>
      <w:r>
        <w:rPr>
          <w:rFonts w:hint="eastAsia" w:ascii="仿宋_GB2312" w:hAnsi="仿宋" w:eastAsia="仿宋_GB2312"/>
          <w:color w:val="000000"/>
          <w:sz w:val="28"/>
          <w:szCs w:val="28"/>
        </w:rPr>
        <w:t>（一）技术文件封面格式</w:t>
      </w:r>
    </w:p>
    <w:p>
      <w:pPr>
        <w:spacing w:line="360" w:lineRule="auto"/>
        <w:ind w:left="-420" w:leftChars="-200" w:firstLine="420" w:firstLineChars="150"/>
        <w:rPr>
          <w:rFonts w:hint="eastAsia" w:ascii="仿宋_GB2312" w:hAnsi="仿宋" w:eastAsia="仿宋_GB2312"/>
          <w:color w:val="000000"/>
          <w:sz w:val="28"/>
          <w:szCs w:val="28"/>
        </w:rPr>
      </w:pPr>
      <w:r>
        <w:rPr>
          <w:rFonts w:hint="eastAsia" w:ascii="仿宋_GB2312" w:hAnsi="仿宋" w:eastAsia="仿宋_GB2312"/>
          <w:color w:val="000000"/>
          <w:sz w:val="28"/>
          <w:szCs w:val="28"/>
        </w:rPr>
        <w:t>致：</w:t>
      </w:r>
      <w:r>
        <w:rPr>
          <w:rFonts w:hint="eastAsia" w:ascii="仿宋_GB2312" w:hAnsi="仿宋" w:eastAsia="仿宋_GB2312" w:cs="宋体"/>
          <w:color w:val="000000"/>
          <w:kern w:val="0"/>
          <w:sz w:val="28"/>
          <w:szCs w:val="28"/>
        </w:rPr>
        <w:t>XX公司</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84"/>
          <w:szCs w:val="84"/>
        </w:rPr>
      </w:pPr>
      <w:r>
        <w:rPr>
          <w:rFonts w:hint="eastAsia" w:ascii="仿宋_GB2312" w:hAnsi="仿宋" w:eastAsia="仿宋_GB2312"/>
          <w:color w:val="000000"/>
          <w:sz w:val="84"/>
          <w:szCs w:val="84"/>
        </w:rPr>
        <w:t>技术文件</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firstLine="1820" w:firstLineChars="650"/>
        <w:rPr>
          <w:rFonts w:hint="eastAsia" w:ascii="仿宋_GB2312" w:hAnsi="仿宋" w:eastAsia="仿宋_GB2312"/>
          <w:color w:val="000000"/>
          <w:sz w:val="28"/>
          <w:szCs w:val="28"/>
        </w:rPr>
      </w:pPr>
    </w:p>
    <w:p>
      <w:pPr>
        <w:spacing w:line="360" w:lineRule="auto"/>
        <w:ind w:left="-420" w:leftChars="-200" w:firstLine="1820" w:firstLineChars="650"/>
        <w:rPr>
          <w:rFonts w:hint="eastAsia" w:ascii="仿宋_GB2312" w:hAnsi="仿宋" w:eastAsia="仿宋_GB2312"/>
          <w:color w:val="000000"/>
          <w:sz w:val="28"/>
          <w:szCs w:val="28"/>
        </w:rPr>
      </w:pPr>
      <w:r>
        <w:rPr>
          <w:rFonts w:hint="eastAsia" w:ascii="仿宋_GB2312" w:hAnsi="仿宋" w:eastAsia="仿宋_GB2312"/>
          <w:color w:val="000000"/>
          <w:sz w:val="28"/>
          <w:szCs w:val="28"/>
        </w:rPr>
        <w:t>项目编号：BCWS-C/H003-2022</w:t>
      </w:r>
    </w:p>
    <w:p>
      <w:pPr>
        <w:spacing w:line="360" w:lineRule="auto"/>
        <w:ind w:left="-420" w:leftChars="-200" w:firstLine="1820" w:firstLineChars="650"/>
        <w:rPr>
          <w:rFonts w:hint="eastAsia" w:ascii="仿宋_GB2312" w:hAnsi="仿宋" w:eastAsia="仿宋_GB2312"/>
          <w:color w:val="000000"/>
          <w:sz w:val="28"/>
          <w:szCs w:val="28"/>
        </w:rPr>
      </w:pPr>
      <w:r>
        <w:rPr>
          <w:rFonts w:hint="eastAsia" w:ascii="仿宋_GB2312" w:hAnsi="仿宋" w:eastAsia="仿宋_GB2312"/>
          <w:color w:val="000000"/>
          <w:sz w:val="28"/>
          <w:szCs w:val="28"/>
        </w:rPr>
        <w:t>项目名称：</w:t>
      </w:r>
      <w:r>
        <w:rPr>
          <w:rFonts w:hint="eastAsia" w:ascii="仿宋_GB2312" w:hAnsi="仿宋" w:eastAsia="仿宋_GB2312"/>
          <w:color w:val="000000"/>
          <w:sz w:val="28"/>
          <w:szCs w:val="28"/>
          <w:lang w:val="en-US" w:eastAsia="zh-CN"/>
        </w:rPr>
        <w:t>一般固废处置服务采购项目</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法定代表人或授权代理人签字：</w:t>
      </w:r>
    </w:p>
    <w:p>
      <w:pPr>
        <w:spacing w:line="360" w:lineRule="auto"/>
        <w:ind w:firstLine="2240" w:firstLineChars="800"/>
        <w:rPr>
          <w:rFonts w:hint="eastAsia" w:ascii="仿宋_GB2312" w:hAnsi="仿宋" w:eastAsia="仿宋_GB2312"/>
          <w:color w:val="000000"/>
          <w:sz w:val="28"/>
          <w:szCs w:val="28"/>
        </w:rPr>
      </w:pPr>
      <w:r>
        <w:rPr>
          <w:rFonts w:hint="eastAsia" w:ascii="仿宋_GB2312" w:hAnsi="仿宋" w:eastAsia="仿宋_GB2312"/>
          <w:color w:val="000000"/>
          <w:sz w:val="28"/>
          <w:szCs w:val="28"/>
        </w:rPr>
        <w:t>供应商名称并盖公章：</w:t>
      </w:r>
    </w:p>
    <w:p>
      <w:pPr>
        <w:spacing w:line="360" w:lineRule="auto"/>
        <w:ind w:left="-420" w:leftChars="-200"/>
        <w:jc w:val="center"/>
        <w:rPr>
          <w:rFonts w:hint="eastAsia" w:ascii="仿宋_GB2312" w:hAnsi="仿宋" w:eastAsia="仿宋_GB2312"/>
          <w:color w:val="000000"/>
          <w:sz w:val="28"/>
          <w:szCs w:val="28"/>
        </w:rPr>
      </w:pPr>
    </w:p>
    <w:p>
      <w:pPr>
        <w:jc w:val="right"/>
      </w:pPr>
      <w:r>
        <w:rPr>
          <w:rFonts w:hint="eastAsia" w:ascii="仿宋_GB2312" w:hAnsi="仿宋" w:eastAsia="仿宋_GB2312"/>
          <w:color w:val="000000"/>
          <w:sz w:val="28"/>
          <w:szCs w:val="28"/>
        </w:rPr>
        <w:t>年     月      日</w:t>
      </w: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eastAsia" w:eastAsia="仿宋_GB2312"/>
          <w:color w:val="000000"/>
          <w:sz w:val="28"/>
          <w:szCs w:val="28"/>
        </w:rPr>
      </w:pPr>
    </w:p>
    <w:p>
      <w:pPr>
        <w:spacing w:line="360" w:lineRule="auto"/>
        <w:ind w:firstLine="560" w:firstLineChars="200"/>
        <w:rPr>
          <w:rFonts w:hint="default" w:eastAsia="仿宋_GB2312"/>
          <w:color w:val="000000"/>
          <w:sz w:val="28"/>
          <w:szCs w:val="28"/>
          <w:lang w:val="en-US" w:eastAsia="zh-CN"/>
        </w:rPr>
      </w:pPr>
      <w:r>
        <w:rPr>
          <w:rFonts w:hint="eastAsia" w:eastAsia="仿宋_GB2312"/>
          <w:color w:val="000000"/>
          <w:sz w:val="28"/>
          <w:szCs w:val="28"/>
          <w:lang w:val="en-US" w:eastAsia="zh-CN"/>
        </w:rPr>
        <w:t>格式不限，根据供应商实际情况自行填写。</w:t>
      </w:r>
    </w:p>
    <w:p>
      <w:pPr>
        <w:pStyle w:val="4"/>
        <w:pageBreakBefore/>
        <w:rPr>
          <w:rFonts w:hint="eastAsia"/>
          <w:color w:val="000000"/>
        </w:rPr>
      </w:pPr>
      <w:bookmarkStart w:id="47" w:name="_Toc7195"/>
      <w:bookmarkStart w:id="48" w:name="_Toc4363"/>
      <w:bookmarkStart w:id="49" w:name="_Toc20139"/>
      <w:r>
        <w:rPr>
          <w:rFonts w:hint="eastAsia"/>
          <w:color w:val="000000"/>
        </w:rPr>
        <w:t>三、报价文件</w:t>
      </w:r>
      <w:bookmarkEnd w:id="47"/>
      <w:bookmarkEnd w:id="48"/>
      <w:bookmarkEnd w:id="49"/>
    </w:p>
    <w:p>
      <w:pPr>
        <w:spacing w:line="360" w:lineRule="auto"/>
        <w:rPr>
          <w:rFonts w:hint="eastAsia" w:ascii="仿宋_GB2312" w:hAnsi="仿宋" w:eastAsia="仿宋_GB2312"/>
          <w:color w:val="000000"/>
          <w:sz w:val="28"/>
          <w:szCs w:val="28"/>
        </w:rPr>
      </w:pPr>
      <w:r>
        <w:rPr>
          <w:rFonts w:hint="eastAsia" w:ascii="仿宋_GB2312" w:hAnsi="仿宋" w:eastAsia="仿宋_GB2312"/>
          <w:color w:val="000000"/>
          <w:sz w:val="28"/>
          <w:szCs w:val="28"/>
        </w:rPr>
        <w:t>（一）报价文件封面格式</w:t>
      </w:r>
    </w:p>
    <w:p>
      <w:pPr>
        <w:spacing w:line="360" w:lineRule="auto"/>
        <w:ind w:left="-420" w:leftChars="-200" w:firstLine="420" w:firstLineChars="150"/>
        <w:rPr>
          <w:rFonts w:hint="eastAsia" w:ascii="仿宋_GB2312" w:hAnsi="仿宋" w:eastAsia="仿宋_GB2312"/>
          <w:color w:val="000000"/>
          <w:sz w:val="28"/>
          <w:szCs w:val="28"/>
        </w:rPr>
      </w:pPr>
      <w:r>
        <w:rPr>
          <w:rFonts w:hint="eastAsia" w:ascii="仿宋_GB2312" w:hAnsi="仿宋" w:eastAsia="仿宋_GB2312"/>
          <w:color w:val="000000"/>
          <w:sz w:val="28"/>
          <w:szCs w:val="28"/>
        </w:rPr>
        <w:t>致：</w:t>
      </w:r>
      <w:r>
        <w:rPr>
          <w:rFonts w:hint="eastAsia" w:ascii="仿宋_GB2312" w:hAnsi="仿宋" w:eastAsia="仿宋_GB2312" w:cs="宋体"/>
          <w:color w:val="000000"/>
          <w:kern w:val="0"/>
          <w:sz w:val="28"/>
          <w:szCs w:val="28"/>
        </w:rPr>
        <w:t>XX公司</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84"/>
          <w:szCs w:val="84"/>
        </w:rPr>
      </w:pPr>
      <w:r>
        <w:rPr>
          <w:rFonts w:hint="eastAsia" w:ascii="仿宋_GB2312" w:hAnsi="仿宋" w:eastAsia="仿宋_GB2312"/>
          <w:color w:val="000000"/>
          <w:sz w:val="84"/>
          <w:szCs w:val="84"/>
        </w:rPr>
        <w:t>报价文件</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firstLine="1820" w:firstLineChars="650"/>
        <w:rPr>
          <w:rFonts w:hint="eastAsia" w:ascii="仿宋_GB2312" w:hAnsi="仿宋" w:eastAsia="仿宋_GB2312"/>
          <w:color w:val="000000"/>
          <w:sz w:val="28"/>
          <w:szCs w:val="28"/>
        </w:rPr>
      </w:pPr>
    </w:p>
    <w:p>
      <w:pPr>
        <w:spacing w:line="360" w:lineRule="auto"/>
        <w:ind w:left="-420" w:leftChars="-200" w:firstLine="1820" w:firstLineChars="650"/>
        <w:rPr>
          <w:rFonts w:hint="eastAsia" w:ascii="仿宋_GB2312" w:hAnsi="仿宋" w:eastAsia="仿宋_GB2312"/>
          <w:color w:val="000000"/>
          <w:sz w:val="28"/>
          <w:szCs w:val="28"/>
        </w:rPr>
      </w:pPr>
      <w:r>
        <w:rPr>
          <w:rFonts w:hint="eastAsia" w:ascii="仿宋_GB2312" w:hAnsi="仿宋" w:eastAsia="仿宋_GB2312"/>
          <w:color w:val="000000"/>
          <w:sz w:val="28"/>
          <w:szCs w:val="28"/>
        </w:rPr>
        <w:t>项目编号：BCWS-C/H003-2022</w:t>
      </w:r>
    </w:p>
    <w:p>
      <w:pPr>
        <w:spacing w:line="360" w:lineRule="auto"/>
        <w:ind w:left="-420" w:leftChars="-200" w:firstLine="1820" w:firstLineChars="650"/>
        <w:rPr>
          <w:rFonts w:hint="eastAsia" w:ascii="仿宋_GB2312" w:hAnsi="仿宋" w:eastAsia="仿宋_GB2312"/>
          <w:color w:val="000000"/>
          <w:sz w:val="28"/>
          <w:szCs w:val="28"/>
        </w:rPr>
      </w:pPr>
      <w:r>
        <w:rPr>
          <w:rFonts w:hint="eastAsia" w:ascii="仿宋_GB2312" w:hAnsi="仿宋" w:eastAsia="仿宋_GB2312"/>
          <w:color w:val="000000"/>
          <w:sz w:val="28"/>
          <w:szCs w:val="28"/>
        </w:rPr>
        <w:t>项目名称：</w:t>
      </w:r>
      <w:r>
        <w:rPr>
          <w:rFonts w:hint="eastAsia" w:ascii="仿宋_GB2312" w:hAnsi="仿宋" w:eastAsia="仿宋_GB2312"/>
          <w:color w:val="000000"/>
          <w:sz w:val="28"/>
          <w:szCs w:val="28"/>
          <w:lang w:val="en-US" w:eastAsia="zh-CN"/>
        </w:rPr>
        <w:t>一般固废处置服务采购项目</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法定代表人或授权代理人签字：</w:t>
      </w:r>
    </w:p>
    <w:p>
      <w:pPr>
        <w:spacing w:line="360" w:lineRule="auto"/>
        <w:ind w:firstLine="2240" w:firstLineChars="800"/>
        <w:rPr>
          <w:rFonts w:hint="eastAsia" w:ascii="仿宋_GB2312" w:hAnsi="仿宋" w:eastAsia="仿宋_GB2312"/>
          <w:color w:val="000000"/>
          <w:sz w:val="28"/>
          <w:szCs w:val="28"/>
        </w:rPr>
      </w:pPr>
      <w:r>
        <w:rPr>
          <w:rFonts w:hint="eastAsia" w:ascii="仿宋_GB2312" w:hAnsi="仿宋" w:eastAsia="仿宋_GB2312"/>
          <w:color w:val="000000"/>
          <w:sz w:val="28"/>
          <w:szCs w:val="28"/>
        </w:rPr>
        <w:t>供应商名称并盖公章：</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年     月      日</w:t>
      </w:r>
    </w:p>
    <w:p>
      <w:pPr>
        <w:spacing w:line="360" w:lineRule="auto"/>
        <w:rPr>
          <w:rFonts w:hint="eastAsia" w:ascii="仿宋_GB2312" w:hAnsi="仿宋" w:eastAsia="仿宋_GB2312"/>
          <w:color w:val="000000"/>
        </w:rPr>
      </w:pPr>
    </w:p>
    <w:p>
      <w:pPr>
        <w:spacing w:line="360" w:lineRule="auto"/>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p>
    <w:p>
      <w:pPr>
        <w:spacing w:line="360" w:lineRule="auto"/>
        <w:rPr>
          <w:rFonts w:hint="eastAsia" w:ascii="仿宋_GB2312" w:hAnsi="仿宋" w:eastAsia="仿宋_GB2312"/>
          <w:color w:val="000000"/>
          <w:sz w:val="28"/>
          <w:szCs w:val="28"/>
        </w:rPr>
      </w:pPr>
      <w:r>
        <w:rPr>
          <w:rFonts w:hint="eastAsia" w:ascii="仿宋_GB2312" w:hAnsi="仿宋" w:eastAsia="仿宋_GB2312"/>
          <w:color w:val="000000"/>
          <w:sz w:val="28"/>
          <w:szCs w:val="28"/>
        </w:rPr>
        <w:t>（二）报价表</w:t>
      </w:r>
    </w:p>
    <w:p>
      <w:pPr>
        <w:spacing w:line="360" w:lineRule="auto"/>
        <w:jc w:val="center"/>
        <w:rPr>
          <w:rFonts w:hint="eastAsia" w:ascii="仿宋_GB2312" w:hAnsi="仿宋" w:eastAsia="仿宋_GB2312"/>
          <w:b/>
          <w:color w:val="000000"/>
          <w:sz w:val="28"/>
          <w:szCs w:val="28"/>
        </w:rPr>
      </w:pPr>
      <w:r>
        <w:rPr>
          <w:rFonts w:hint="eastAsia" w:ascii="仿宋_GB2312" w:hAnsi="仿宋" w:eastAsia="仿宋_GB2312"/>
          <w:b/>
          <w:color w:val="000000"/>
          <w:sz w:val="28"/>
          <w:szCs w:val="28"/>
        </w:rPr>
        <w:t>报价表（可调整）</w:t>
      </w:r>
    </w:p>
    <w:p>
      <w:pPr>
        <w:spacing w:line="360" w:lineRule="auto"/>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项目编号：     </w:t>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 xml:space="preserve">      </w:t>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 xml:space="preserve">  </w:t>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单位：元</w:t>
      </w:r>
    </w:p>
    <w:tbl>
      <w:tblPr>
        <w:tblStyle w:val="39"/>
        <w:tblW w:w="0" w:type="auto"/>
        <w:tblInd w:w="103" w:type="dxa"/>
        <w:tblLayout w:type="fixed"/>
        <w:tblCellMar>
          <w:top w:w="0" w:type="dxa"/>
          <w:left w:w="108" w:type="dxa"/>
          <w:bottom w:w="0" w:type="dxa"/>
          <w:right w:w="108" w:type="dxa"/>
        </w:tblCellMar>
      </w:tblPr>
      <w:tblGrid>
        <w:gridCol w:w="856"/>
        <w:gridCol w:w="2551"/>
        <w:gridCol w:w="2694"/>
        <w:gridCol w:w="2724"/>
      </w:tblGrid>
      <w:tr>
        <w:tblPrEx>
          <w:tblCellMar>
            <w:top w:w="0" w:type="dxa"/>
            <w:left w:w="108" w:type="dxa"/>
            <w:bottom w:w="0" w:type="dxa"/>
            <w:right w:w="108" w:type="dxa"/>
          </w:tblCellMar>
        </w:tblPrEx>
        <w:trPr>
          <w:wBefore w:w="0" w:type="dxa"/>
          <w:wAfter w:w="0" w:type="dxa"/>
          <w:trHeight w:val="450"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color w:val="000000"/>
                <w:sz w:val="24"/>
              </w:rPr>
            </w:pPr>
            <w:r>
              <w:rPr>
                <w:rFonts w:hint="eastAsia" w:ascii="仿宋_GB2312" w:hAnsi="仿宋" w:eastAsia="仿宋_GB2312" w:cs="Arial"/>
                <w:color w:val="000000"/>
                <w:sz w:val="24"/>
              </w:rPr>
              <w:t>序号</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color w:val="000000"/>
                <w:sz w:val="24"/>
              </w:rPr>
            </w:pPr>
            <w:r>
              <w:rPr>
                <w:rFonts w:hint="eastAsia" w:ascii="仿宋_GB2312" w:hAnsi="仿宋" w:eastAsia="仿宋_GB2312" w:cs="Arial"/>
                <w:color w:val="000000"/>
                <w:sz w:val="24"/>
              </w:rPr>
              <w:t>名称</w:t>
            </w: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Arial"/>
                <w:color w:val="000000"/>
                <w:sz w:val="24"/>
              </w:rPr>
            </w:pPr>
            <w:r>
              <w:rPr>
                <w:rFonts w:hint="eastAsia" w:ascii="仿宋_GB2312" w:hAnsi="仿宋" w:eastAsia="仿宋_GB2312" w:cs="Arial"/>
                <w:color w:val="000000"/>
                <w:sz w:val="24"/>
              </w:rPr>
              <w:t>价格</w:t>
            </w:r>
          </w:p>
        </w:tc>
        <w:tc>
          <w:tcPr>
            <w:tcW w:w="27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Arial"/>
                <w:color w:val="000000"/>
                <w:sz w:val="24"/>
              </w:rPr>
            </w:pPr>
            <w:r>
              <w:rPr>
                <w:rFonts w:hint="eastAsia" w:ascii="仿宋_GB2312" w:hAnsi="仿宋" w:eastAsia="仿宋_GB2312" w:cs="Arial"/>
                <w:color w:val="000000"/>
                <w:sz w:val="24"/>
              </w:rPr>
              <w:t>备注</w:t>
            </w:r>
          </w:p>
        </w:tc>
      </w:tr>
      <w:tr>
        <w:tblPrEx>
          <w:tblCellMar>
            <w:top w:w="0" w:type="dxa"/>
            <w:left w:w="108" w:type="dxa"/>
            <w:bottom w:w="0" w:type="dxa"/>
            <w:right w:w="108" w:type="dxa"/>
          </w:tblCellMar>
        </w:tblPrEx>
        <w:trPr>
          <w:wBefore w:w="0" w:type="dxa"/>
          <w:wAfter w:w="0" w:type="dxa"/>
          <w:trHeight w:val="793" w:hRule="atLeast"/>
        </w:trPr>
        <w:tc>
          <w:tcPr>
            <w:tcW w:w="856"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551"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olor w:val="000000"/>
                <w:kern w:val="0"/>
                <w:sz w:val="24"/>
              </w:rPr>
            </w:pPr>
          </w:p>
        </w:tc>
        <w:tc>
          <w:tcPr>
            <w:tcW w:w="2724" w:type="dxa"/>
            <w:tcBorders>
              <w:top w:val="nil"/>
              <w:left w:val="nil"/>
              <w:bottom w:val="single" w:color="auto" w:sz="4" w:space="0"/>
              <w:right w:val="single" w:color="auto" w:sz="4" w:space="0"/>
            </w:tcBorders>
            <w:noWrap w:val="0"/>
            <w:vAlign w:val="bottom"/>
          </w:tcPr>
          <w:p>
            <w:pPr>
              <w:widowControl/>
              <w:jc w:val="right"/>
              <w:rPr>
                <w:rFonts w:hint="eastAsia" w:ascii="仿宋_GB2312" w:hAnsi="仿宋" w:eastAsia="仿宋_GB2312" w:cs="Arial"/>
                <w:color w:val="000000"/>
                <w:kern w:val="0"/>
                <w:sz w:val="24"/>
              </w:rPr>
            </w:pPr>
          </w:p>
        </w:tc>
      </w:tr>
      <w:tr>
        <w:tblPrEx>
          <w:tblCellMar>
            <w:top w:w="0" w:type="dxa"/>
            <w:left w:w="108" w:type="dxa"/>
            <w:bottom w:w="0" w:type="dxa"/>
            <w:right w:w="108" w:type="dxa"/>
          </w:tblCellMar>
        </w:tblPrEx>
        <w:trPr>
          <w:wBefore w:w="0" w:type="dxa"/>
          <w:wAfter w:w="0" w:type="dxa"/>
          <w:trHeight w:val="793" w:hRule="atLeast"/>
        </w:trPr>
        <w:tc>
          <w:tcPr>
            <w:tcW w:w="856"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551"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olor w:val="000000"/>
                <w:kern w:val="0"/>
                <w:sz w:val="24"/>
              </w:rPr>
            </w:pPr>
          </w:p>
        </w:tc>
        <w:tc>
          <w:tcPr>
            <w:tcW w:w="2724" w:type="dxa"/>
            <w:tcBorders>
              <w:top w:val="nil"/>
              <w:left w:val="nil"/>
              <w:bottom w:val="single" w:color="auto" w:sz="4" w:space="0"/>
              <w:right w:val="single" w:color="auto" w:sz="4" w:space="0"/>
            </w:tcBorders>
            <w:noWrap w:val="0"/>
            <w:vAlign w:val="bottom"/>
          </w:tcPr>
          <w:p>
            <w:pPr>
              <w:widowControl/>
              <w:jc w:val="right"/>
              <w:rPr>
                <w:rFonts w:hint="eastAsia" w:ascii="仿宋_GB2312" w:hAnsi="仿宋" w:eastAsia="仿宋_GB2312" w:cs="Arial"/>
                <w:color w:val="000000"/>
                <w:kern w:val="0"/>
                <w:sz w:val="24"/>
              </w:rPr>
            </w:pPr>
          </w:p>
        </w:tc>
      </w:tr>
      <w:tr>
        <w:tblPrEx>
          <w:tblCellMar>
            <w:top w:w="0" w:type="dxa"/>
            <w:left w:w="108" w:type="dxa"/>
            <w:bottom w:w="0" w:type="dxa"/>
            <w:right w:w="108" w:type="dxa"/>
          </w:tblCellMar>
        </w:tblPrEx>
        <w:trPr>
          <w:wBefore w:w="0" w:type="dxa"/>
          <w:wAfter w:w="0" w:type="dxa"/>
          <w:trHeight w:val="793" w:hRule="atLeast"/>
        </w:trPr>
        <w:tc>
          <w:tcPr>
            <w:tcW w:w="856"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551"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olor w:val="000000"/>
                <w:kern w:val="0"/>
                <w:sz w:val="24"/>
              </w:rPr>
            </w:pPr>
          </w:p>
        </w:tc>
        <w:tc>
          <w:tcPr>
            <w:tcW w:w="2724" w:type="dxa"/>
            <w:tcBorders>
              <w:top w:val="nil"/>
              <w:left w:val="nil"/>
              <w:bottom w:val="single" w:color="auto" w:sz="4" w:space="0"/>
              <w:right w:val="single" w:color="auto" w:sz="4" w:space="0"/>
            </w:tcBorders>
            <w:noWrap w:val="0"/>
            <w:vAlign w:val="bottom"/>
          </w:tcPr>
          <w:p>
            <w:pPr>
              <w:widowControl/>
              <w:jc w:val="right"/>
              <w:rPr>
                <w:rFonts w:hint="eastAsia" w:ascii="仿宋_GB2312" w:hAnsi="仿宋" w:eastAsia="仿宋_GB2312" w:cs="Arial"/>
                <w:color w:val="000000"/>
                <w:kern w:val="0"/>
                <w:sz w:val="24"/>
              </w:rPr>
            </w:pPr>
          </w:p>
        </w:tc>
      </w:tr>
      <w:tr>
        <w:tblPrEx>
          <w:tblCellMar>
            <w:top w:w="0" w:type="dxa"/>
            <w:left w:w="108" w:type="dxa"/>
            <w:bottom w:w="0" w:type="dxa"/>
            <w:right w:w="108" w:type="dxa"/>
          </w:tblCellMar>
        </w:tblPrEx>
        <w:trPr>
          <w:wBefore w:w="0" w:type="dxa"/>
          <w:wAfter w:w="0" w:type="dxa"/>
          <w:trHeight w:val="793" w:hRule="atLeast"/>
        </w:trPr>
        <w:tc>
          <w:tcPr>
            <w:tcW w:w="856"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551"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olor w:val="000000"/>
                <w:kern w:val="0"/>
                <w:sz w:val="24"/>
              </w:rPr>
            </w:pPr>
          </w:p>
        </w:tc>
        <w:tc>
          <w:tcPr>
            <w:tcW w:w="2724" w:type="dxa"/>
            <w:tcBorders>
              <w:top w:val="nil"/>
              <w:left w:val="nil"/>
              <w:bottom w:val="single" w:color="auto" w:sz="4" w:space="0"/>
              <w:right w:val="single" w:color="auto" w:sz="4" w:space="0"/>
            </w:tcBorders>
            <w:noWrap w:val="0"/>
            <w:vAlign w:val="bottom"/>
          </w:tcPr>
          <w:p>
            <w:pPr>
              <w:widowControl/>
              <w:jc w:val="right"/>
              <w:rPr>
                <w:rFonts w:hint="eastAsia" w:ascii="仿宋_GB2312" w:hAnsi="仿宋" w:eastAsia="仿宋_GB2312" w:cs="Arial"/>
                <w:color w:val="000000"/>
                <w:kern w:val="0"/>
                <w:sz w:val="24"/>
              </w:rPr>
            </w:pPr>
          </w:p>
        </w:tc>
      </w:tr>
      <w:tr>
        <w:tblPrEx>
          <w:tblCellMar>
            <w:top w:w="0" w:type="dxa"/>
            <w:left w:w="108" w:type="dxa"/>
            <w:bottom w:w="0" w:type="dxa"/>
            <w:right w:w="108" w:type="dxa"/>
          </w:tblCellMar>
        </w:tblPrEx>
        <w:trPr>
          <w:wBefore w:w="0" w:type="dxa"/>
          <w:wAfter w:w="0" w:type="dxa"/>
          <w:trHeight w:val="793" w:hRule="atLeast"/>
        </w:trPr>
        <w:tc>
          <w:tcPr>
            <w:tcW w:w="856"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551" w:type="dxa"/>
            <w:tcBorders>
              <w:top w:val="nil"/>
              <w:left w:val="single" w:color="auto" w:sz="4" w:space="0"/>
              <w:bottom w:val="single" w:color="auto" w:sz="4" w:space="0"/>
              <w:right w:val="single" w:color="auto" w:sz="4" w:space="0"/>
            </w:tcBorders>
            <w:noWrap w:val="0"/>
            <w:vAlign w:val="top"/>
          </w:tcPr>
          <w:p>
            <w:pPr>
              <w:rPr>
                <w:rFonts w:hint="eastAsia" w:ascii="仿宋_GB2312" w:hAnsi="仿宋" w:eastAsia="仿宋_GB2312" w:cs="Arial"/>
                <w:color w:val="000000"/>
                <w:sz w:val="24"/>
              </w:rPr>
            </w:pP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olor w:val="000000"/>
                <w:kern w:val="0"/>
                <w:sz w:val="24"/>
              </w:rPr>
            </w:pPr>
          </w:p>
        </w:tc>
        <w:tc>
          <w:tcPr>
            <w:tcW w:w="2724" w:type="dxa"/>
            <w:tcBorders>
              <w:top w:val="nil"/>
              <w:left w:val="nil"/>
              <w:bottom w:val="single" w:color="auto" w:sz="4" w:space="0"/>
              <w:right w:val="single" w:color="auto" w:sz="4" w:space="0"/>
            </w:tcBorders>
            <w:noWrap w:val="0"/>
            <w:vAlign w:val="bottom"/>
          </w:tcPr>
          <w:p>
            <w:pPr>
              <w:widowControl/>
              <w:jc w:val="right"/>
              <w:rPr>
                <w:rFonts w:hint="eastAsia" w:ascii="仿宋_GB2312" w:hAnsi="仿宋" w:eastAsia="仿宋_GB2312" w:cs="Arial"/>
                <w:color w:val="000000"/>
                <w:kern w:val="0"/>
                <w:sz w:val="24"/>
              </w:rPr>
            </w:pPr>
          </w:p>
        </w:tc>
      </w:tr>
      <w:tr>
        <w:tblPrEx>
          <w:tblCellMar>
            <w:top w:w="0" w:type="dxa"/>
            <w:left w:w="108" w:type="dxa"/>
            <w:bottom w:w="0" w:type="dxa"/>
            <w:right w:w="108" w:type="dxa"/>
          </w:tblCellMar>
        </w:tblPrEx>
        <w:trPr>
          <w:wBefore w:w="0" w:type="dxa"/>
          <w:wAfter w:w="0" w:type="dxa"/>
          <w:trHeight w:val="450" w:hRule="atLeast"/>
        </w:trPr>
        <w:tc>
          <w:tcPr>
            <w:tcW w:w="3407" w:type="dxa"/>
            <w:gridSpan w:val="2"/>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 w:eastAsia="仿宋_GB2312" w:cs="Arial"/>
                <w:color w:val="000000"/>
                <w:sz w:val="24"/>
              </w:rPr>
            </w:pPr>
            <w:r>
              <w:rPr>
                <w:rFonts w:hint="eastAsia" w:ascii="仿宋_GB2312" w:hAnsi="仿宋" w:eastAsia="仿宋_GB2312" w:cs="Arial"/>
                <w:color w:val="000000"/>
                <w:sz w:val="24"/>
              </w:rPr>
              <w:t>合计金额</w:t>
            </w:r>
          </w:p>
        </w:tc>
        <w:tc>
          <w:tcPr>
            <w:tcW w:w="5418" w:type="dxa"/>
            <w:gridSpan w:val="2"/>
            <w:tcBorders>
              <w:top w:val="nil"/>
              <w:left w:val="nil"/>
              <w:bottom w:val="single" w:color="auto" w:sz="4" w:space="0"/>
              <w:right w:val="single" w:color="auto" w:sz="4" w:space="0"/>
            </w:tcBorders>
            <w:shd w:val="clear" w:color="auto" w:fill="FFFFFF"/>
            <w:noWrap w:val="0"/>
            <w:vAlign w:val="center"/>
          </w:tcPr>
          <w:p>
            <w:pPr>
              <w:widowControl/>
              <w:rPr>
                <w:rFonts w:hint="eastAsia" w:ascii="仿宋_GB2312" w:hAnsi="仿宋" w:eastAsia="仿宋_GB2312" w:cs="Arial"/>
                <w:color w:val="000000"/>
                <w:kern w:val="0"/>
                <w:sz w:val="24"/>
              </w:rPr>
            </w:pPr>
            <w:r>
              <w:rPr>
                <w:rFonts w:hint="eastAsia" w:ascii="仿宋_GB2312" w:hAnsi="仿宋" w:eastAsia="仿宋_GB2312" w:cs="Arial"/>
                <w:color w:val="000000"/>
                <w:sz w:val="24"/>
              </w:rPr>
              <w:t>（小写）</w:t>
            </w:r>
          </w:p>
        </w:tc>
      </w:tr>
      <w:tr>
        <w:tblPrEx>
          <w:tblCellMar>
            <w:top w:w="0" w:type="dxa"/>
            <w:left w:w="108" w:type="dxa"/>
            <w:bottom w:w="0" w:type="dxa"/>
            <w:right w:w="108" w:type="dxa"/>
          </w:tblCellMar>
        </w:tblPrEx>
        <w:trPr>
          <w:wBefore w:w="0" w:type="dxa"/>
          <w:wAfter w:w="0" w:type="dxa"/>
          <w:trHeight w:val="450" w:hRule="atLeast"/>
        </w:trPr>
        <w:tc>
          <w:tcPr>
            <w:tcW w:w="3407" w:type="dxa"/>
            <w:gridSpan w:val="2"/>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 w:eastAsia="仿宋_GB2312" w:cs="Arial"/>
                <w:color w:val="000000"/>
                <w:sz w:val="24"/>
              </w:rPr>
            </w:pPr>
            <w:r>
              <w:rPr>
                <w:rFonts w:hint="eastAsia" w:ascii="仿宋_GB2312" w:hAnsi="仿宋" w:eastAsia="仿宋_GB2312" w:cs="Arial"/>
                <w:color w:val="000000"/>
                <w:sz w:val="24"/>
              </w:rPr>
              <w:t>合计金额</w:t>
            </w:r>
          </w:p>
        </w:tc>
        <w:tc>
          <w:tcPr>
            <w:tcW w:w="5418" w:type="dxa"/>
            <w:gridSpan w:val="2"/>
            <w:tcBorders>
              <w:top w:val="single" w:color="auto" w:sz="4" w:space="0"/>
              <w:left w:val="nil"/>
              <w:bottom w:val="single" w:color="auto" w:sz="4" w:space="0"/>
              <w:right w:val="single" w:color="auto" w:sz="4" w:space="0"/>
            </w:tcBorders>
            <w:shd w:val="clear" w:color="auto" w:fill="FFFFFF"/>
            <w:noWrap w:val="0"/>
            <w:vAlign w:val="bottom"/>
          </w:tcPr>
          <w:p>
            <w:pPr>
              <w:rPr>
                <w:rFonts w:hint="eastAsia" w:ascii="仿宋_GB2312" w:hAnsi="仿宋" w:eastAsia="仿宋_GB2312" w:cs="Arial"/>
                <w:color w:val="000000"/>
                <w:sz w:val="24"/>
              </w:rPr>
            </w:pPr>
            <w:r>
              <w:rPr>
                <w:rFonts w:hint="eastAsia" w:ascii="仿宋_GB2312" w:hAnsi="仿宋" w:eastAsia="仿宋_GB2312" w:cs="Arial"/>
                <w:color w:val="000000"/>
                <w:sz w:val="24"/>
              </w:rPr>
              <w:t>（大写）</w:t>
            </w:r>
          </w:p>
        </w:tc>
      </w:tr>
    </w:tbl>
    <w:p>
      <w:pPr>
        <w:spacing w:line="500" w:lineRule="exact"/>
        <w:ind w:firstLine="420"/>
        <w:rPr>
          <w:rFonts w:hint="eastAsia" w:ascii="仿宋_GB2312" w:hAnsi="宋体" w:eastAsia="仿宋_GB2312" w:cs="Arial"/>
          <w:sz w:val="28"/>
          <w:szCs w:val="28"/>
        </w:rPr>
      </w:pPr>
      <w:r>
        <w:rPr>
          <w:rFonts w:hint="eastAsia" w:ascii="仿宋_GB2312" w:hAnsi="宋体" w:eastAsia="仿宋_GB2312" w:cs="Arial"/>
          <w:sz w:val="28"/>
          <w:szCs w:val="28"/>
        </w:rPr>
        <w:t>注：</w:t>
      </w:r>
    </w:p>
    <w:p>
      <w:pPr>
        <w:spacing w:line="500" w:lineRule="exact"/>
        <w:ind w:left="2" w:firstLine="537" w:firstLineChars="192"/>
        <w:rPr>
          <w:rFonts w:hint="eastAsia" w:ascii="仿宋_GB2312" w:hAnsi="宋体" w:eastAsia="仿宋_GB2312" w:cs="Arial"/>
          <w:sz w:val="28"/>
          <w:szCs w:val="28"/>
        </w:rPr>
      </w:pPr>
      <w:r>
        <w:rPr>
          <w:rFonts w:hint="eastAsia" w:ascii="仿宋_GB2312" w:hAnsi="宋体" w:eastAsia="仿宋_GB2312" w:cs="Arial"/>
          <w:sz w:val="28"/>
          <w:szCs w:val="28"/>
        </w:rPr>
        <w:t>1. 若报价金额大、小写有差异，则以大写金额为准；</w:t>
      </w:r>
    </w:p>
    <w:p>
      <w:pPr>
        <w:tabs>
          <w:tab w:val="left" w:pos="6720"/>
          <w:tab w:val="left" w:pos="6870"/>
        </w:tabs>
        <w:spacing w:line="500" w:lineRule="exact"/>
        <w:ind w:firstLine="560" w:firstLineChars="200"/>
        <w:rPr>
          <w:rFonts w:hint="eastAsia" w:ascii="仿宋_GB2312" w:hAnsi="宋体" w:eastAsia="仿宋_GB2312" w:cs="Arial"/>
          <w:sz w:val="28"/>
          <w:szCs w:val="28"/>
        </w:rPr>
      </w:pPr>
      <w:r>
        <w:rPr>
          <w:rFonts w:hint="eastAsia" w:ascii="仿宋_GB2312" w:hAnsi="宋体" w:eastAsia="仿宋_GB2312" w:cs="Arial"/>
          <w:sz w:val="28"/>
          <w:szCs w:val="28"/>
        </w:rPr>
        <w:t>2．供应商报价中应包含项目所有有关的费用，如供应商在项目实施中产生新的费用由供应商自行解决并承担相关费用。</w:t>
      </w:r>
    </w:p>
    <w:p>
      <w:pPr>
        <w:tabs>
          <w:tab w:val="left" w:pos="6720"/>
          <w:tab w:val="left" w:pos="6870"/>
        </w:tabs>
        <w:spacing w:line="500" w:lineRule="exact"/>
        <w:ind w:firstLine="560" w:firstLineChars="200"/>
        <w:rPr>
          <w:rFonts w:hint="eastAsia" w:ascii="仿宋_GB2312" w:hAnsi="仿宋" w:eastAsia="仿宋_GB2312"/>
          <w:color w:val="000000"/>
          <w:sz w:val="28"/>
          <w:szCs w:val="28"/>
        </w:rPr>
      </w:pPr>
      <w:r>
        <w:rPr>
          <w:rFonts w:hint="eastAsia" w:ascii="仿宋_GB2312" w:hAnsi="宋体" w:eastAsia="仿宋_GB2312" w:cs="Arial"/>
          <w:sz w:val="28"/>
          <w:szCs w:val="28"/>
        </w:rPr>
        <w:t>3.报价</w:t>
      </w:r>
      <w:r>
        <w:rPr>
          <w:rFonts w:hint="eastAsia" w:ascii="仿宋_GB2312" w:hAnsi="仿宋" w:eastAsia="仿宋_GB2312"/>
          <w:color w:val="000000"/>
          <w:sz w:val="28"/>
          <w:szCs w:val="28"/>
        </w:rPr>
        <w:t>含税费、设备费、运费、安装费等相关所有费用。</w:t>
      </w:r>
    </w:p>
    <w:p>
      <w:pPr>
        <w:tabs>
          <w:tab w:val="left" w:pos="6720"/>
          <w:tab w:val="left" w:pos="6870"/>
        </w:tabs>
        <w:spacing w:line="360" w:lineRule="auto"/>
        <w:ind w:left="-420" w:leftChars="-200" w:right="-398" w:firstLine="980" w:firstLineChars="350"/>
        <w:rPr>
          <w:rFonts w:hint="eastAsia" w:ascii="仿宋_GB2312" w:hAnsi="仿宋" w:eastAsia="仿宋_GB2312"/>
          <w:color w:val="000000"/>
          <w:sz w:val="28"/>
          <w:szCs w:val="28"/>
        </w:rPr>
      </w:pPr>
    </w:p>
    <w:p>
      <w:pPr>
        <w:spacing w:line="360" w:lineRule="auto"/>
        <w:ind w:firstLine="560" w:firstLineChars="200"/>
        <w:rPr>
          <w:rFonts w:hint="eastAsia" w:ascii="仿宋_GB2312" w:hAnsi="宋体" w:eastAsia="仿宋_GB2312" w:cs="Arial"/>
          <w:sz w:val="28"/>
          <w:szCs w:val="28"/>
        </w:rPr>
      </w:pPr>
      <w:r>
        <w:rPr>
          <w:rFonts w:hint="eastAsia" w:ascii="仿宋_GB2312" w:hAnsi="宋体" w:eastAsia="仿宋_GB2312" w:cs="Arial"/>
          <w:sz w:val="28"/>
          <w:szCs w:val="28"/>
        </w:rPr>
        <w:t>法定代表人或授权代表：</w:t>
      </w:r>
      <w:r>
        <w:rPr>
          <w:rFonts w:hint="eastAsia" w:ascii="仿宋_GB2312" w:hAnsi="宋体" w:eastAsia="仿宋_GB2312" w:cs="Arial"/>
          <w:sz w:val="28"/>
          <w:szCs w:val="28"/>
          <w:u w:val="single"/>
        </w:rPr>
        <w:t xml:space="preserve"> （签名）  </w:t>
      </w:r>
      <w:r>
        <w:rPr>
          <w:rFonts w:hint="eastAsia" w:ascii="仿宋_GB2312" w:hAnsi="仿宋" w:eastAsia="仿宋_GB2312"/>
          <w:color w:val="000000"/>
          <w:sz w:val="28"/>
          <w:szCs w:val="28"/>
        </w:rPr>
        <w:tab/>
      </w:r>
      <w:r>
        <w:rPr>
          <w:rFonts w:hint="eastAsia" w:ascii="仿宋_GB2312" w:hAnsi="仿宋" w:eastAsia="仿宋_GB2312"/>
          <w:color w:val="000000"/>
          <w:sz w:val="28"/>
          <w:szCs w:val="28"/>
        </w:rPr>
        <w:tab/>
      </w:r>
    </w:p>
    <w:p>
      <w:pPr>
        <w:spacing w:line="360" w:lineRule="auto"/>
        <w:ind w:firstLine="560" w:firstLineChars="200"/>
        <w:rPr>
          <w:rFonts w:hint="eastAsia" w:ascii="仿宋_GB2312" w:hAnsi="仿宋" w:eastAsia="仿宋_GB2312"/>
          <w:color w:val="000000"/>
          <w:sz w:val="28"/>
          <w:szCs w:val="28"/>
        </w:rPr>
      </w:pPr>
      <w:r>
        <w:rPr>
          <w:rFonts w:hint="eastAsia" w:ascii="仿宋_GB2312" w:hAnsi="宋体" w:eastAsia="仿宋_GB2312" w:cs="Arial"/>
          <w:sz w:val="28"/>
          <w:szCs w:val="28"/>
        </w:rPr>
        <w:t>供应商：</w:t>
      </w:r>
      <w:r>
        <w:rPr>
          <w:rFonts w:hint="eastAsia" w:ascii="仿宋_GB2312" w:hAnsi="宋体" w:eastAsia="仿宋_GB2312" w:cs="Arial"/>
          <w:sz w:val="28"/>
          <w:szCs w:val="28"/>
          <w:u w:val="single"/>
        </w:rPr>
        <w:t>（盖公章）</w:t>
      </w:r>
    </w:p>
    <w:p>
      <w:pPr>
        <w:spacing w:line="360" w:lineRule="auto"/>
        <w:ind w:left="-420" w:leftChars="-200"/>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w:t>
      </w:r>
    </w:p>
    <w:p>
      <w:pPr>
        <w:spacing w:line="360" w:lineRule="auto"/>
        <w:ind w:left="-420" w:leftChars="-200"/>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年      月      日</w:t>
      </w:r>
    </w:p>
    <w:p>
      <w:pPr>
        <w:spacing w:line="360" w:lineRule="auto"/>
        <w:ind w:left="-420" w:leftChars="-200"/>
        <w:jc w:val="center"/>
        <w:rPr>
          <w:rFonts w:hint="eastAsia" w:ascii="仿宋_GB2312" w:hAnsi="仿宋" w:eastAsia="仿宋_GB2312"/>
          <w:color w:val="000000"/>
          <w:sz w:val="28"/>
          <w:szCs w:val="28"/>
        </w:rPr>
      </w:pPr>
    </w:p>
    <w:p>
      <w:pPr>
        <w:spacing w:line="360" w:lineRule="auto"/>
        <w:ind w:left="-420" w:leftChars="-200"/>
        <w:jc w:val="center"/>
        <w:rPr>
          <w:rFonts w:hint="eastAsia" w:ascii="仿宋_GB2312" w:hAnsi="仿宋" w:eastAsia="仿宋_GB2312"/>
          <w:color w:val="000000"/>
          <w:sz w:val="28"/>
          <w:szCs w:val="28"/>
        </w:rPr>
      </w:pPr>
    </w:p>
    <w:p>
      <w:pPr>
        <w:spacing w:line="360" w:lineRule="auto"/>
        <w:ind w:firstLine="560" w:firstLineChars="200"/>
        <w:rPr>
          <w:rFonts w:hint="eastAsia" w:eastAsia="仿宋_GB2312"/>
          <w:color w:val="000000"/>
          <w:sz w:val="28"/>
          <w:szCs w:val="28"/>
        </w:rPr>
      </w:pPr>
    </w:p>
    <w:p>
      <w:pPr>
        <w:pStyle w:val="3"/>
        <w:pageBreakBefore/>
        <w:numPr>
          <w:ilvl w:val="0"/>
          <w:numId w:val="0"/>
        </w:numPr>
        <w:jc w:val="center"/>
        <w:rPr>
          <w:rFonts w:hint="eastAsia"/>
          <w:color w:val="000000"/>
        </w:rPr>
      </w:pPr>
      <w:bookmarkStart w:id="50" w:name="_Toc5290"/>
      <w:r>
        <w:rPr>
          <w:rFonts w:hint="eastAsia"/>
          <w:color w:val="000000"/>
        </w:rPr>
        <w:t>第四部分  合同主要条款</w:t>
      </w:r>
      <w:bookmarkEnd w:id="50"/>
    </w:p>
    <w:p>
      <w:pPr>
        <w:ind w:right="-147" w:rightChars="-70"/>
        <w:jc w:val="center"/>
        <w:rPr>
          <w:rFonts w:hint="eastAsia"/>
        </w:rPr>
      </w:pPr>
      <w:r>
        <w:rPr>
          <w:rFonts w:hint="eastAsia" w:ascii="Tahoma" w:cs="Tahoma"/>
          <w:b/>
          <w:sz w:val="52"/>
          <w:szCs w:val="52"/>
        </w:rPr>
        <w:t>北川发展污水处理有限责任公司</w:t>
      </w:r>
    </w:p>
    <w:p>
      <w:pPr>
        <w:pStyle w:val="17"/>
        <w:rPr>
          <w:rFonts w:hint="eastAsia"/>
        </w:rPr>
      </w:pPr>
    </w:p>
    <w:p>
      <w:pPr>
        <w:ind w:right="-147" w:rightChars="-70"/>
        <w:jc w:val="center"/>
        <w:rPr>
          <w:rFonts w:hint="eastAsia" w:ascii="Tahoma" w:cs="Tahoma"/>
          <w:b/>
          <w:sz w:val="52"/>
          <w:szCs w:val="52"/>
        </w:rPr>
      </w:pPr>
      <w:r>
        <w:rPr>
          <w:rFonts w:hint="eastAsia" w:ascii="Tahoma" w:cs="Tahoma"/>
          <w:b/>
          <w:sz w:val="52"/>
          <w:szCs w:val="52"/>
          <w:lang w:val="en-US" w:eastAsia="zh-CN"/>
        </w:rPr>
        <w:t>一般固废处置采购</w:t>
      </w:r>
      <w:r>
        <w:rPr>
          <w:rFonts w:hint="eastAsia" w:ascii="Tahoma" w:cs="Tahoma"/>
          <w:b/>
          <w:sz w:val="52"/>
          <w:szCs w:val="52"/>
        </w:rPr>
        <w:t>项目</w:t>
      </w:r>
    </w:p>
    <w:p>
      <w:pPr>
        <w:ind w:right="-147" w:rightChars="-70"/>
        <w:jc w:val="center"/>
        <w:rPr>
          <w:rFonts w:hint="eastAsia" w:ascii="Tahoma" w:cs="Tahoma"/>
          <w:b/>
          <w:sz w:val="52"/>
          <w:szCs w:val="52"/>
        </w:rPr>
      </w:pPr>
    </w:p>
    <w:p>
      <w:pPr>
        <w:ind w:right="-147" w:rightChars="-70"/>
        <w:jc w:val="center"/>
        <w:rPr>
          <w:rFonts w:hint="eastAsia" w:ascii="Tahoma" w:cs="Tahoma"/>
          <w:b/>
          <w:sz w:val="52"/>
          <w:szCs w:val="52"/>
        </w:rPr>
      </w:pPr>
    </w:p>
    <w:p>
      <w:pPr>
        <w:ind w:right="-147" w:rightChars="-70"/>
        <w:jc w:val="center"/>
        <w:rPr>
          <w:rFonts w:hint="eastAsia" w:ascii="Tahoma" w:cs="Tahoma"/>
          <w:b/>
          <w:sz w:val="52"/>
          <w:szCs w:val="52"/>
        </w:rPr>
      </w:pPr>
    </w:p>
    <w:p>
      <w:pPr>
        <w:ind w:right="-147" w:rightChars="-70"/>
        <w:jc w:val="center"/>
        <w:rPr>
          <w:rFonts w:hint="eastAsia" w:ascii="Tahoma" w:cs="Tahoma"/>
          <w:b/>
          <w:sz w:val="52"/>
          <w:szCs w:val="52"/>
        </w:rPr>
      </w:pPr>
    </w:p>
    <w:p>
      <w:pPr>
        <w:ind w:right="-147" w:rightChars="-70"/>
        <w:jc w:val="center"/>
        <w:rPr>
          <w:rFonts w:ascii="Tahoma" w:cs="Tahoma"/>
          <w:b/>
          <w:sz w:val="52"/>
          <w:szCs w:val="52"/>
        </w:rPr>
      </w:pPr>
      <w:r>
        <w:rPr>
          <w:rFonts w:hint="eastAsia" w:ascii="Tahoma" w:cs="Tahoma"/>
          <w:b/>
          <w:sz w:val="52"/>
          <w:szCs w:val="52"/>
        </w:rPr>
        <w:t>采</w:t>
      </w:r>
    </w:p>
    <w:p>
      <w:pPr>
        <w:ind w:right="-147" w:rightChars="-70"/>
        <w:jc w:val="center"/>
        <w:rPr>
          <w:rFonts w:ascii="Tahoma" w:cs="Tahoma"/>
          <w:b/>
          <w:sz w:val="52"/>
          <w:szCs w:val="52"/>
        </w:rPr>
      </w:pPr>
    </w:p>
    <w:p>
      <w:pPr>
        <w:ind w:right="-147" w:rightChars="-70"/>
        <w:jc w:val="center"/>
        <w:rPr>
          <w:rFonts w:ascii="Tahoma" w:cs="Tahoma"/>
          <w:b/>
          <w:sz w:val="52"/>
          <w:szCs w:val="52"/>
        </w:rPr>
      </w:pPr>
      <w:r>
        <w:rPr>
          <w:rFonts w:hint="eastAsia" w:ascii="Tahoma" w:cs="Tahoma"/>
          <w:b/>
          <w:sz w:val="52"/>
          <w:szCs w:val="52"/>
        </w:rPr>
        <w:t>购</w:t>
      </w:r>
    </w:p>
    <w:p>
      <w:pPr>
        <w:ind w:right="-147" w:rightChars="-70"/>
        <w:jc w:val="center"/>
        <w:rPr>
          <w:rFonts w:ascii="Tahoma" w:cs="Tahoma"/>
          <w:b/>
          <w:sz w:val="52"/>
          <w:szCs w:val="52"/>
        </w:rPr>
      </w:pPr>
    </w:p>
    <w:p>
      <w:pPr>
        <w:ind w:right="-147" w:rightChars="-70"/>
        <w:jc w:val="center"/>
        <w:rPr>
          <w:rFonts w:ascii="Tahoma" w:hAnsi="宋体" w:cs="Tahoma"/>
          <w:b/>
          <w:sz w:val="52"/>
          <w:szCs w:val="52"/>
        </w:rPr>
      </w:pPr>
      <w:r>
        <w:rPr>
          <w:rFonts w:ascii="Tahoma" w:hAnsi="宋体" w:cs="Tahoma"/>
          <w:b/>
          <w:sz w:val="52"/>
          <w:szCs w:val="52"/>
        </w:rPr>
        <w:t>合</w:t>
      </w:r>
    </w:p>
    <w:p>
      <w:pPr>
        <w:ind w:right="-147" w:rightChars="-70"/>
        <w:jc w:val="center"/>
        <w:rPr>
          <w:rFonts w:ascii="Tahoma" w:hAnsi="宋体" w:cs="Tahoma"/>
          <w:b/>
          <w:sz w:val="52"/>
          <w:szCs w:val="52"/>
        </w:rPr>
      </w:pPr>
    </w:p>
    <w:p>
      <w:pPr>
        <w:ind w:right="-147" w:rightChars="-70"/>
        <w:jc w:val="center"/>
        <w:rPr>
          <w:rFonts w:ascii="Tahoma" w:hAnsi="Tahoma" w:cs="Tahoma"/>
          <w:b/>
          <w:sz w:val="52"/>
          <w:szCs w:val="52"/>
        </w:rPr>
      </w:pPr>
      <w:r>
        <w:rPr>
          <w:rFonts w:ascii="Tahoma" w:hAnsi="宋体" w:cs="Tahoma"/>
          <w:b/>
          <w:sz w:val="52"/>
          <w:szCs w:val="52"/>
        </w:rPr>
        <w:t>同</w:t>
      </w:r>
    </w:p>
    <w:p>
      <w:pPr>
        <w:ind w:left="1980" w:right="2400" w:hanging="1980" w:hangingChars="275"/>
        <w:rPr>
          <w:rFonts w:ascii="Tahoma" w:hAnsi="Tahoma" w:cs="Tahoma"/>
          <w:sz w:val="72"/>
          <w:szCs w:val="72"/>
        </w:rPr>
      </w:pPr>
    </w:p>
    <w:p>
      <w:pPr>
        <w:pStyle w:val="2"/>
        <w:rPr>
          <w:rFonts w:ascii="Tahoma" w:hAnsi="Tahoma" w:cs="Tahoma"/>
          <w:sz w:val="72"/>
          <w:szCs w:val="72"/>
        </w:rPr>
      </w:pPr>
    </w:p>
    <w:p>
      <w:pPr>
        <w:pStyle w:val="2"/>
      </w:pPr>
    </w:p>
    <w:p>
      <w:pPr>
        <w:ind w:left="770" w:right="2400" w:hanging="770" w:hangingChars="275"/>
        <w:rPr>
          <w:rFonts w:ascii="Tahoma" w:hAnsi="Tahoma" w:cs="Tahoma"/>
          <w:sz w:val="28"/>
          <w:szCs w:val="28"/>
        </w:rPr>
      </w:pPr>
      <w:r>
        <w:rPr>
          <w:rFonts w:hint="eastAsia" w:ascii="Tahoma" w:hAnsi="Tahoma" w:cs="Tahoma"/>
          <w:sz w:val="28"/>
          <w:szCs w:val="28"/>
        </w:rPr>
        <w:t xml:space="preserve">              合同编号：[                 ]</w:t>
      </w:r>
    </w:p>
    <w:p>
      <w:pPr>
        <w:ind w:right="2400"/>
        <w:rPr>
          <w:rFonts w:ascii="Tahoma" w:hAnsi="Tahoma" w:cs="Tahoma"/>
          <w:sz w:val="28"/>
          <w:szCs w:val="28"/>
        </w:rPr>
      </w:pPr>
      <w:r>
        <w:rPr>
          <w:rFonts w:hint="eastAsia" w:ascii="Tahoma" w:hAnsi="Tahoma" w:cs="Tahoma"/>
          <w:sz w:val="28"/>
          <w:szCs w:val="28"/>
        </w:rPr>
        <w:t xml:space="preserve">              签署地点：[                 ]</w:t>
      </w:r>
    </w:p>
    <w:p>
      <w:pPr>
        <w:ind w:right="2400"/>
        <w:rPr>
          <w:rFonts w:ascii="Tahoma" w:hAnsi="Tahoma" w:cs="Tahoma"/>
          <w:sz w:val="28"/>
          <w:szCs w:val="28"/>
        </w:rPr>
      </w:pPr>
      <w:r>
        <w:rPr>
          <w:rFonts w:hint="eastAsia" w:ascii="Tahoma" w:hAnsi="Tahoma" w:cs="Tahoma"/>
          <w:sz w:val="28"/>
          <w:szCs w:val="28"/>
        </w:rPr>
        <w:t xml:space="preserve">              </w:t>
      </w:r>
      <w:r>
        <w:rPr>
          <w:rFonts w:hint="eastAsia"/>
          <w:sz w:val="28"/>
          <w:szCs w:val="28"/>
        </w:rPr>
        <w:t>签署日期：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日</w:t>
      </w:r>
    </w:p>
    <w:p>
      <w:pPr>
        <w:tabs>
          <w:tab w:val="left" w:pos="5025"/>
        </w:tabs>
        <w:ind w:firstLine="1800" w:firstLineChars="750"/>
        <w:rPr>
          <w:bCs/>
          <w:sz w:val="24"/>
        </w:rPr>
      </w:pPr>
    </w:p>
    <w:p>
      <w:pPr>
        <w:spacing w:line="360" w:lineRule="auto"/>
        <w:rPr>
          <w:rFonts w:ascii="宋体" w:hAnsi="宋体"/>
          <w:sz w:val="24"/>
        </w:rPr>
      </w:pP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甲方(采购方): 北川发展</w:t>
      </w:r>
      <w:r>
        <w:rPr>
          <w:rFonts w:hint="eastAsia" w:ascii="宋体" w:hAnsi="宋体"/>
          <w:sz w:val="24"/>
          <w:lang w:eastAsia="zh-CN"/>
        </w:rPr>
        <w:t>污水处理</w:t>
      </w:r>
      <w:r>
        <w:rPr>
          <w:rFonts w:hint="eastAsia" w:ascii="宋体" w:hAnsi="宋体"/>
          <w:sz w:val="24"/>
        </w:rPr>
        <w:t>有限责任公司</w:t>
      </w:r>
    </w:p>
    <w:p>
      <w:pPr>
        <w:spacing w:line="360" w:lineRule="auto"/>
        <w:rPr>
          <w:rFonts w:ascii="宋体" w:hAnsi="宋体"/>
          <w:sz w:val="24"/>
        </w:rPr>
      </w:pPr>
      <w:r>
        <w:rPr>
          <w:rFonts w:hint="eastAsia" w:ascii="宋体" w:hAnsi="宋体"/>
          <w:sz w:val="24"/>
        </w:rPr>
        <w:t>法定代表人：陈昱佳</w:t>
      </w:r>
    </w:p>
    <w:p>
      <w:pPr>
        <w:spacing w:line="360" w:lineRule="auto"/>
        <w:rPr>
          <w:rFonts w:ascii="宋体" w:hAnsi="宋体"/>
          <w:sz w:val="24"/>
        </w:rPr>
      </w:pPr>
      <w:r>
        <w:rPr>
          <w:rFonts w:hint="eastAsia" w:ascii="宋体" w:hAnsi="宋体"/>
          <w:sz w:val="24"/>
        </w:rPr>
        <w:t>住所：北川羌族自治县永昌镇滨河北路142号</w:t>
      </w:r>
    </w:p>
    <w:p>
      <w:pPr>
        <w:spacing w:line="360" w:lineRule="auto"/>
        <w:rPr>
          <w:rFonts w:ascii="宋体" w:hAnsi="宋体"/>
          <w:sz w:val="24"/>
        </w:rPr>
      </w:pPr>
      <w:r>
        <w:rPr>
          <w:rFonts w:hint="eastAsia" w:ascii="宋体" w:hAnsi="宋体"/>
          <w:sz w:val="24"/>
        </w:rPr>
        <w:t xml:space="preserve">电话（传真）：0816-4762308 </w:t>
      </w:r>
      <w:r>
        <w:rPr>
          <w:rFonts w:hint="eastAsia" w:ascii="宋体" w:hAnsi="宋体"/>
          <w:sz w:val="24"/>
          <w:szCs w:val="24"/>
        </w:rPr>
        <w:t xml:space="preserve">               </w:t>
      </w: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 xml:space="preserve">乙方(供应商)：                </w:t>
      </w:r>
    </w:p>
    <w:p>
      <w:pPr>
        <w:spacing w:line="360" w:lineRule="auto"/>
        <w:rPr>
          <w:rFonts w:ascii="宋体" w:hAnsi="宋体"/>
          <w:sz w:val="24"/>
        </w:rPr>
      </w:pPr>
      <w:r>
        <w:rPr>
          <w:rFonts w:hint="eastAsia" w:ascii="宋体" w:hAnsi="宋体"/>
          <w:sz w:val="24"/>
        </w:rPr>
        <w:t xml:space="preserve">法定代表人：                 </w:t>
      </w:r>
    </w:p>
    <w:p>
      <w:pPr>
        <w:spacing w:line="360" w:lineRule="auto"/>
        <w:rPr>
          <w:rFonts w:ascii="宋体" w:hAnsi="宋体"/>
          <w:sz w:val="24"/>
        </w:rPr>
      </w:pPr>
      <w:r>
        <w:rPr>
          <w:rFonts w:hint="eastAsia" w:ascii="宋体" w:hAnsi="宋体"/>
          <w:sz w:val="24"/>
        </w:rPr>
        <w:t xml:space="preserve">住所：                       </w:t>
      </w:r>
    </w:p>
    <w:p>
      <w:pPr>
        <w:spacing w:line="360" w:lineRule="auto"/>
        <w:rPr>
          <w:rFonts w:ascii="宋体" w:hAnsi="宋体"/>
          <w:sz w:val="24"/>
        </w:rPr>
      </w:pPr>
      <w:r>
        <w:rPr>
          <w:rFonts w:hint="eastAsia" w:ascii="宋体" w:hAnsi="宋体"/>
          <w:sz w:val="24"/>
        </w:rPr>
        <w:t xml:space="preserve">电话（传真）：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甲、乙双方经友好协商，本着共同合作和互惠互利的原则，就甲方向乙方购买本合同第一条所述之标的事宜订立如下合同条款，以兹共同遵守：</w:t>
      </w:r>
    </w:p>
    <w:p>
      <w:pPr>
        <w:spacing w:line="360" w:lineRule="auto"/>
        <w:rPr>
          <w:rFonts w:ascii="宋体" w:hAnsi="宋体"/>
          <w:sz w:val="24"/>
        </w:rPr>
      </w:pPr>
    </w:p>
    <w:p>
      <w:pPr>
        <w:widowControl/>
        <w:spacing w:line="360" w:lineRule="auto"/>
        <w:rPr>
          <w:rFonts w:ascii="宋体" w:hAnsi="宋体"/>
          <w:sz w:val="24"/>
        </w:rPr>
      </w:pPr>
      <w:r>
        <w:rPr>
          <w:rFonts w:hint="eastAsia" w:ascii="宋体" w:hAnsi="宋体"/>
          <w:sz w:val="24"/>
        </w:rPr>
        <w:t>一、合同标的（服务的名称、方式、内容、目标、周期、要求、报价、数量、金额）</w:t>
      </w:r>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sz w:val="24"/>
              </w:rPr>
            </w:pPr>
            <w:r>
              <w:rPr>
                <w:rFonts w:ascii="宋体" w:hAnsi="宋体"/>
                <w:sz w:val="24"/>
              </w:rPr>
              <w:t>服务名称</w:t>
            </w:r>
          </w:p>
        </w:tc>
        <w:tc>
          <w:tcPr>
            <w:tcW w:w="6429" w:type="dxa"/>
            <w:noWrap w:val="0"/>
            <w:vAlign w:val="top"/>
          </w:tcPr>
          <w:p>
            <w:pPr>
              <w:spacing w:line="360" w:lineRule="auto"/>
              <w:rPr>
                <w:rFonts w:hint="eastAsia" w:ascii="宋体" w:hAnsi="宋体"/>
                <w:sz w:val="24"/>
              </w:rPr>
            </w:pPr>
            <w:r>
              <w:rPr>
                <w:rFonts w:hint="eastAsia" w:ascii="宋体" w:hAnsi="宋体"/>
                <w:sz w:val="24"/>
                <w:lang w:val="en-US" w:eastAsia="zh-CN"/>
              </w:rPr>
              <w:t>一般固废处置</w:t>
            </w:r>
            <w:r>
              <w:rPr>
                <w:rFonts w:hint="eastAsia" w:ascii="宋体" w:hAnsi="宋体"/>
                <w:sz w:val="24"/>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sz w:val="24"/>
              </w:rPr>
            </w:pPr>
            <w:r>
              <w:rPr>
                <w:rFonts w:hint="eastAsia" w:ascii="宋体" w:hAnsi="宋体"/>
                <w:sz w:val="24"/>
              </w:rPr>
              <w:t>服务方式</w:t>
            </w:r>
          </w:p>
        </w:tc>
        <w:tc>
          <w:tcPr>
            <w:tcW w:w="6429" w:type="dxa"/>
            <w:noWrap w:val="0"/>
            <w:vAlign w:val="top"/>
          </w:tcPr>
          <w:p>
            <w:pPr>
              <w:spacing w:line="360" w:lineRule="auto"/>
              <w:rPr>
                <w:rFonts w:hint="default" w:ascii="宋体" w:hAnsi="宋体" w:eastAsia="宋体"/>
                <w:sz w:val="24"/>
                <w:lang w:val="en-US" w:eastAsia="zh-CN"/>
              </w:rPr>
            </w:pPr>
            <w:r>
              <w:rPr>
                <w:rFonts w:hint="eastAsia" w:ascii="宋体" w:hAnsi="宋体"/>
                <w:sz w:val="24"/>
                <w:lang w:val="en-US" w:eastAsia="zh-CN"/>
              </w:rPr>
              <w:t>污泥委托处置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ascii="宋体" w:hAnsi="宋体"/>
                <w:sz w:val="24"/>
              </w:rPr>
            </w:pPr>
            <w:r>
              <w:rPr>
                <w:rFonts w:hint="eastAsia" w:ascii="宋体" w:hAnsi="宋体"/>
                <w:sz w:val="24"/>
              </w:rPr>
              <w:t>服务内容</w:t>
            </w:r>
          </w:p>
        </w:tc>
        <w:tc>
          <w:tcPr>
            <w:tcW w:w="6429" w:type="dxa"/>
            <w:noWrap w:val="0"/>
            <w:vAlign w:val="top"/>
          </w:tcPr>
          <w:p>
            <w:pPr>
              <w:spacing w:line="360" w:lineRule="auto"/>
              <w:rPr>
                <w:rFonts w:hint="eastAsia" w:ascii="宋体" w:hAnsi="宋体" w:eastAsia="宋体" w:cs="Times New Roman"/>
                <w:sz w:val="24"/>
              </w:rPr>
            </w:pPr>
            <w:r>
              <w:rPr>
                <w:rFonts w:hint="eastAsia" w:ascii="宋体" w:hAnsi="宋体" w:eastAsia="宋体" w:cs="Times New Roman"/>
                <w:bCs w:val="0"/>
                <w:sz w:val="24"/>
                <w:szCs w:val="24"/>
              </w:rPr>
              <w:t>本次采购项目为</w:t>
            </w:r>
            <w:r>
              <w:rPr>
                <w:rFonts w:hint="eastAsia" w:ascii="宋体" w:hAnsi="宋体" w:eastAsia="宋体" w:cs="Times New Roman"/>
                <w:bCs w:val="0"/>
                <w:sz w:val="24"/>
                <w:szCs w:val="24"/>
                <w:lang w:eastAsia="zh-CN"/>
              </w:rPr>
              <w:t>北川发展污水处理有限责任公司</w:t>
            </w:r>
            <w:r>
              <w:rPr>
                <w:rFonts w:hint="eastAsia" w:ascii="宋体" w:hAnsi="宋体" w:eastAsia="宋体" w:cs="Times New Roman"/>
                <w:bCs w:val="0"/>
                <w:sz w:val="24"/>
                <w:szCs w:val="24"/>
              </w:rPr>
              <w:t>污泥处置服务。污泥性质：城市生活污水处理厂脱水剩余污泥；污泥含水率：≦80%；年产生量：约</w:t>
            </w:r>
            <w:r>
              <w:rPr>
                <w:rFonts w:hint="eastAsia" w:ascii="宋体" w:hAnsi="宋体" w:eastAsia="宋体" w:cs="Times New Roman"/>
                <w:bCs w:val="0"/>
                <w:sz w:val="24"/>
                <w:szCs w:val="24"/>
                <w:lang w:val="en-US" w:eastAsia="zh-CN"/>
              </w:rPr>
              <w:t>5500</w:t>
            </w:r>
            <w:r>
              <w:rPr>
                <w:rFonts w:hint="eastAsia" w:ascii="宋体" w:hAnsi="宋体" w:eastAsia="宋体" w:cs="Times New Roman"/>
                <w:bCs w:val="0"/>
                <w:sz w:val="24"/>
                <w:szCs w:val="24"/>
              </w:rPr>
              <w:t>吨；本次采购的污泥处置服务需符合“无害化、稳定化、资源化、减量化”的总体要求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sz w:val="24"/>
              </w:rPr>
            </w:pPr>
            <w:r>
              <w:rPr>
                <w:rFonts w:hint="eastAsia" w:ascii="宋体" w:hAnsi="宋体"/>
                <w:sz w:val="24"/>
              </w:rPr>
              <w:t>服务目标</w:t>
            </w:r>
          </w:p>
        </w:tc>
        <w:tc>
          <w:tcPr>
            <w:tcW w:w="6429" w:type="dxa"/>
            <w:noWrap w:val="0"/>
            <w:vAlign w:val="top"/>
          </w:tcPr>
          <w:p>
            <w:pPr>
              <w:spacing w:line="360" w:lineRule="auto"/>
              <w:rPr>
                <w:rFonts w:hint="default" w:ascii="宋体" w:hAnsi="宋体" w:eastAsia="宋体"/>
                <w:sz w:val="24"/>
                <w:lang w:val="en-US" w:eastAsia="zh-CN"/>
              </w:rPr>
            </w:pPr>
            <w:r>
              <w:rPr>
                <w:rFonts w:hint="eastAsia" w:ascii="宋体" w:hAnsi="宋体"/>
                <w:sz w:val="24"/>
                <w:lang w:val="en-US" w:eastAsia="zh-CN"/>
              </w:rPr>
              <w:t>污泥合规处置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sz w:val="24"/>
              </w:rPr>
            </w:pPr>
            <w:r>
              <w:rPr>
                <w:rFonts w:hint="eastAsia" w:ascii="宋体" w:hAnsi="宋体"/>
                <w:sz w:val="24"/>
              </w:rPr>
              <w:t>服务周期</w:t>
            </w:r>
          </w:p>
        </w:tc>
        <w:tc>
          <w:tcPr>
            <w:tcW w:w="6429" w:type="dxa"/>
            <w:noWrap w:val="0"/>
            <w:vAlign w:val="top"/>
          </w:tcPr>
          <w:p>
            <w:pPr>
              <w:spacing w:line="360" w:lineRule="auto"/>
              <w:rPr>
                <w:rFonts w:hint="default" w:ascii="宋体" w:hAnsi="宋体" w:eastAsia="宋体"/>
                <w:sz w:val="24"/>
                <w:lang w:val="en-US" w:eastAsia="zh-CN"/>
              </w:rPr>
            </w:pPr>
            <w:r>
              <w:rPr>
                <w:rFonts w:hint="eastAsia" w:ascii="宋体" w:hAnsi="宋体"/>
                <w:sz w:val="24"/>
                <w:lang w:val="en-US" w:eastAsia="zh-CN"/>
              </w:rPr>
              <w:t>20xx年xx月xx日-2022年12月31日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sz w:val="24"/>
              </w:rPr>
            </w:pPr>
            <w:r>
              <w:rPr>
                <w:rFonts w:hint="eastAsia" w:ascii="宋体" w:hAnsi="宋体"/>
                <w:sz w:val="24"/>
              </w:rPr>
              <w:t>质量要求</w:t>
            </w:r>
          </w:p>
        </w:tc>
        <w:tc>
          <w:tcPr>
            <w:tcW w:w="6429" w:type="dxa"/>
            <w:noWrap w:val="0"/>
            <w:vAlign w:val="top"/>
          </w:tcPr>
          <w:p>
            <w:pPr>
              <w:spacing w:line="360" w:lineRule="auto"/>
              <w:rPr>
                <w:rFonts w:ascii="宋体" w:hAnsi="宋体"/>
                <w:sz w:val="24"/>
              </w:rPr>
            </w:pPr>
            <w:r>
              <w:rPr>
                <w:rFonts w:hint="eastAsia" w:ascii="宋体" w:hAnsi="宋体" w:eastAsia="宋体" w:cs="Times New Roman"/>
                <w:bCs w:val="0"/>
                <w:sz w:val="24"/>
                <w:szCs w:val="24"/>
              </w:rPr>
              <w:t>污泥处置服务需符合“无害化、稳定化、资源化、减量化”的总体要求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hint="eastAsia" w:ascii="宋体" w:hAnsi="宋体" w:eastAsia="宋体"/>
                <w:sz w:val="24"/>
                <w:lang w:eastAsia="zh-CN"/>
              </w:rPr>
            </w:pPr>
            <w:r>
              <w:rPr>
                <w:rFonts w:hint="eastAsia" w:ascii="宋体" w:hAnsi="宋体"/>
                <w:sz w:val="24"/>
              </w:rPr>
              <w:t>单价</w:t>
            </w:r>
          </w:p>
        </w:tc>
        <w:tc>
          <w:tcPr>
            <w:tcW w:w="642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hint="eastAsia" w:ascii="宋体" w:hAnsi="宋体" w:eastAsia="宋体"/>
                <w:sz w:val="24"/>
                <w:lang w:eastAsia="zh-CN"/>
              </w:rPr>
            </w:pPr>
            <w:r>
              <w:rPr>
                <w:rFonts w:hint="eastAsia" w:ascii="宋体" w:hAnsi="宋体"/>
                <w:sz w:val="24"/>
                <w:lang w:eastAsia="zh-CN"/>
              </w:rPr>
              <w:t>预计</w:t>
            </w:r>
            <w:r>
              <w:rPr>
                <w:rFonts w:hint="eastAsia" w:ascii="宋体" w:hAnsi="宋体"/>
                <w:sz w:val="24"/>
              </w:rPr>
              <w:t>数量</w:t>
            </w:r>
          </w:p>
        </w:tc>
        <w:tc>
          <w:tcPr>
            <w:tcW w:w="6429" w:type="dxa"/>
            <w:noWrap w:val="0"/>
            <w:vAlign w:val="top"/>
          </w:tcPr>
          <w:p>
            <w:pPr>
              <w:spacing w:line="360" w:lineRule="auto"/>
              <w:rPr>
                <w:rFonts w:hint="default" w:ascii="宋体" w:hAnsi="宋体" w:eastAsia="宋体"/>
                <w:sz w:val="24"/>
                <w:lang w:val="en-US" w:eastAsia="zh-CN"/>
              </w:rPr>
            </w:pPr>
            <w:r>
              <w:rPr>
                <w:rFonts w:hint="eastAsia" w:ascii="宋体" w:hAnsi="宋体"/>
                <w:sz w:val="24"/>
                <w:lang w:val="en-US" w:eastAsia="zh-CN"/>
              </w:rPr>
              <w:t>5500吨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sz w:val="24"/>
              </w:rPr>
            </w:pPr>
            <w:r>
              <w:rPr>
                <w:rFonts w:hint="eastAsia" w:ascii="宋体" w:hAnsi="宋体"/>
                <w:sz w:val="24"/>
                <w:lang w:eastAsia="zh-CN"/>
              </w:rPr>
              <w:t>金额</w:t>
            </w:r>
          </w:p>
        </w:tc>
        <w:tc>
          <w:tcPr>
            <w:tcW w:w="6429" w:type="dxa"/>
            <w:noWrap w:val="0"/>
            <w:vAlign w:val="top"/>
          </w:tcPr>
          <w:p>
            <w:pPr>
              <w:spacing w:line="360" w:lineRule="auto"/>
              <w:rPr>
                <w:rFonts w:ascii="宋体" w:hAnsi="宋体"/>
                <w:sz w:val="24"/>
              </w:rPr>
            </w:pPr>
            <w:r>
              <w:rPr>
                <w:rFonts w:hint="eastAsia" w:ascii="宋体" w:hAnsi="宋体"/>
                <w:sz w:val="24"/>
              </w:rPr>
              <w:t xml:space="preserve"> </w:t>
            </w:r>
            <w:r>
              <w:rPr>
                <w:rFonts w:hint="eastAsia" w:ascii="宋体" w:hAnsi="宋体"/>
                <w:sz w:val="24"/>
                <w:szCs w:val="24"/>
                <w:lang w:eastAsia="zh-CN"/>
              </w:rPr>
              <w:t>单价乘以甲乙双方共同认可的磅单数量为结算价格</w:t>
            </w:r>
          </w:p>
        </w:tc>
      </w:tr>
    </w:tbl>
    <w:p>
      <w:pPr>
        <w:spacing w:line="360" w:lineRule="auto"/>
        <w:rPr>
          <w:rFonts w:ascii="宋体" w:hAnsi="宋体"/>
          <w:sz w:val="24"/>
        </w:rPr>
      </w:pPr>
      <w:r>
        <w:rPr>
          <w:rFonts w:hint="eastAsia" w:ascii="宋体" w:hAnsi="宋体"/>
          <w:sz w:val="24"/>
        </w:rPr>
        <w:t xml:space="preserve">1.1  本合同总金额为包干价，包括现在和将来的所有税款与其它财政和公共费用，及服务完成前所需的费用、成本以及利润等，乙方不得向甲方要求合同总金额以外的任何费用。 </w:t>
      </w:r>
    </w:p>
    <w:p>
      <w:pPr>
        <w:spacing w:line="360" w:lineRule="auto"/>
        <w:rPr>
          <w:rFonts w:ascii="宋体" w:hAnsi="宋体"/>
          <w:sz w:val="24"/>
        </w:rPr>
      </w:pPr>
      <w:r>
        <w:rPr>
          <w:rFonts w:hint="eastAsia" w:ascii="宋体" w:hAnsi="宋体"/>
          <w:sz w:val="24"/>
        </w:rPr>
        <w:t>1.2  乙方同意，在执行本合同过程中，如甲方发现其它任何第三方供应商以低于本合同的价格提供本合同第一条所述之服务，或乙方向其他任何第三方采购商以低于本合同价格出售本合同第一条所述之服务，甲方有权要求乙方调低价格，乙方应相应予以调整，如甲、乙双方在甲方提出降价要求之日起[   ]天内无法就价格调整事宜达成一致，甲方有权选择继续履行本合同或提前终止本合同，而无需承担任何违约责任。</w:t>
      </w:r>
    </w:p>
    <w:p>
      <w:pPr>
        <w:spacing w:line="360" w:lineRule="auto"/>
        <w:rPr>
          <w:rFonts w:ascii="宋体" w:hAnsi="宋体"/>
          <w:sz w:val="24"/>
        </w:rPr>
      </w:pPr>
      <w:r>
        <w:rPr>
          <w:rFonts w:hint="eastAsia" w:ascii="宋体" w:hAnsi="宋体"/>
          <w:sz w:val="24"/>
        </w:rPr>
        <w:t>1.3  乙方同意，除调低服务价格外，在本合同有效期内，不得对本合同项下服务价格进行调整或变更。</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二、服务与监督</w:t>
      </w:r>
    </w:p>
    <w:p>
      <w:pPr>
        <w:spacing w:line="360" w:lineRule="auto"/>
        <w:ind w:left="2" w:firstLine="16" w:firstLineChars="7"/>
        <w:rPr>
          <w:rFonts w:ascii="宋体" w:hAnsi="宋体"/>
          <w:sz w:val="24"/>
        </w:rPr>
      </w:pPr>
      <w:r>
        <w:rPr>
          <w:rFonts w:hint="eastAsia" w:ascii="宋体" w:hAnsi="宋体"/>
          <w:sz w:val="24"/>
        </w:rPr>
        <w:t>2.1  乙方收到甲方进驻现场的通知后按约定时间进驻服务现场，应并按照本合同约定的期限和质量，向甲方提供服务，甲方应向乙方提供必要的配合。</w:t>
      </w:r>
    </w:p>
    <w:p>
      <w:pPr>
        <w:spacing w:line="360" w:lineRule="auto"/>
        <w:rPr>
          <w:rFonts w:ascii="宋体" w:hAnsi="宋体"/>
          <w:sz w:val="24"/>
        </w:rPr>
      </w:pPr>
      <w:r>
        <w:rPr>
          <w:rFonts w:hint="eastAsia" w:ascii="宋体" w:hAnsi="宋体"/>
          <w:sz w:val="24"/>
        </w:rPr>
        <w:t>2.2  甲方有权对乙方提供的服务进行监督，并随时抽查乙方的服务质量，如甲方认为乙方所提供的服务未能符合本合同要求，有权要求乙方进行返工或相应调整，否则甲方有权拒绝继续接受服务和支付服务费用，并要求乙方承担损失（如有）赔偿责任，且甲方的该等拒绝不视为对本合同的违反。</w:t>
      </w:r>
    </w:p>
    <w:p>
      <w:pPr>
        <w:spacing w:line="360" w:lineRule="auto"/>
        <w:rPr>
          <w:rFonts w:ascii="宋体" w:hAnsi="宋体"/>
          <w:sz w:val="24"/>
        </w:rPr>
      </w:pPr>
      <w:r>
        <w:rPr>
          <w:rFonts w:hint="eastAsia" w:ascii="宋体" w:hAnsi="宋体"/>
          <w:sz w:val="24"/>
        </w:rPr>
        <w:t>2.3  乙方应自行配备其提供服务所需之设备、工具及相关人员，除非在本合同中另有规定。服务期间，因乙方提供服务导致的设备损失或人员伤害，由乙方负责，如甲方因此承担了任何责任或赔偿，甲方有权向乙方追偿。</w:t>
      </w:r>
    </w:p>
    <w:p>
      <w:pPr>
        <w:spacing w:line="360" w:lineRule="auto"/>
        <w:ind w:left="480" w:hanging="480" w:hangingChars="200"/>
        <w:rPr>
          <w:rFonts w:hint="eastAsia" w:ascii="宋体" w:hAnsi="宋体"/>
          <w:sz w:val="24"/>
        </w:rPr>
      </w:pPr>
      <w:r>
        <w:rPr>
          <w:rFonts w:hint="eastAsia" w:ascii="宋体" w:hAnsi="宋体"/>
          <w:sz w:val="24"/>
        </w:rPr>
        <w:t>2</w:t>
      </w:r>
      <w:r>
        <w:rPr>
          <w:rFonts w:ascii="宋体" w:hAnsi="宋体"/>
          <w:sz w:val="24"/>
        </w:rPr>
        <w:t>.4</w:t>
      </w:r>
      <w:r>
        <w:rPr>
          <w:rFonts w:hint="eastAsia" w:ascii="宋体" w:hAnsi="宋体"/>
          <w:sz w:val="24"/>
        </w:rPr>
        <w:t>甲方指定联系人：【       】，联系电话：【       】，邮件：【        】；</w:t>
      </w:r>
    </w:p>
    <w:p>
      <w:pPr>
        <w:spacing w:line="360" w:lineRule="auto"/>
        <w:ind w:left="0" w:leftChars="0" w:firstLine="480" w:firstLineChars="200"/>
        <w:rPr>
          <w:rFonts w:ascii="宋体" w:hAnsi="宋体"/>
          <w:sz w:val="24"/>
        </w:rPr>
      </w:pPr>
      <w:r>
        <w:rPr>
          <w:rFonts w:hint="eastAsia" w:ascii="宋体" w:hAnsi="宋体"/>
          <w:sz w:val="24"/>
        </w:rPr>
        <w:t>乙方指定联系人：【        】，联系电话：【       】，邮件：【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三、乙方保证甲方免受第三方提出的侵犯其知识产权的起诉，甲方由此遭受的损失由乙方承担。</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四、付款日期以及方式</w:t>
      </w:r>
    </w:p>
    <w:p>
      <w:pPr>
        <w:spacing w:line="360" w:lineRule="auto"/>
        <w:ind w:firstLine="480" w:firstLineChars="200"/>
        <w:rPr>
          <w:rFonts w:hint="eastAsia" w:ascii="宋体" w:hAnsi="宋体" w:cs="Times New Roman"/>
          <w:sz w:val="24"/>
          <w:szCs w:val="24"/>
          <w:lang w:val="en-US" w:eastAsia="zh-CN"/>
        </w:rPr>
      </w:pPr>
      <w:r>
        <w:rPr>
          <w:rFonts w:hint="eastAsia" w:ascii="宋体" w:hAnsi="宋体" w:cs="Times New Roman"/>
          <w:sz w:val="24"/>
          <w:szCs w:val="24"/>
          <w:lang w:val="en-US" w:eastAsia="zh-CN"/>
        </w:rPr>
        <w:t>甲乙双方以共同确认的磅单数量乘以单价按季度支付费用，乙方应在甲方付款前向甲方开具等额有效的增值税专用发票，甲方凭乙方开具的该等额发票付款。</w:t>
      </w:r>
    </w:p>
    <w:p>
      <w:pPr>
        <w:spacing w:line="360" w:lineRule="auto"/>
        <w:rPr>
          <w:rFonts w:ascii="宋体" w:hAnsi="宋体"/>
          <w:sz w:val="24"/>
        </w:rPr>
      </w:pPr>
      <w:r>
        <w:rPr>
          <w:rFonts w:hint="eastAsia" w:ascii="宋体" w:hAnsi="宋体"/>
          <w:sz w:val="24"/>
        </w:rPr>
        <w:t>甲方开票信息：</w:t>
      </w:r>
    </w:p>
    <w:p>
      <w:pPr>
        <w:spacing w:line="360" w:lineRule="auto"/>
        <w:rPr>
          <w:rFonts w:hint="eastAsia" w:ascii="宋体" w:hAnsi="宋体"/>
          <w:sz w:val="24"/>
        </w:rPr>
      </w:pPr>
      <w:r>
        <w:rPr>
          <w:rFonts w:hint="eastAsia" w:ascii="宋体" w:hAnsi="宋体"/>
          <w:sz w:val="24"/>
        </w:rPr>
        <w:t>纳税人名称：北川发展</w:t>
      </w:r>
      <w:r>
        <w:rPr>
          <w:rFonts w:hint="eastAsia" w:ascii="宋体" w:hAnsi="宋体"/>
          <w:sz w:val="24"/>
          <w:lang w:eastAsia="zh-CN"/>
        </w:rPr>
        <w:t>污水处理</w:t>
      </w:r>
      <w:r>
        <w:rPr>
          <w:rFonts w:hint="eastAsia" w:ascii="宋体" w:hAnsi="宋体"/>
          <w:sz w:val="24"/>
        </w:rPr>
        <w:t xml:space="preserve">有限责任公司 </w:t>
      </w:r>
    </w:p>
    <w:p>
      <w:pPr>
        <w:spacing w:line="360" w:lineRule="auto"/>
        <w:rPr>
          <w:rFonts w:hint="eastAsia" w:ascii="宋体" w:hAnsi="宋体"/>
          <w:sz w:val="24"/>
        </w:rPr>
      </w:pPr>
      <w:r>
        <w:rPr>
          <w:rFonts w:hint="eastAsia" w:ascii="宋体" w:hAnsi="宋体"/>
          <w:sz w:val="24"/>
        </w:rPr>
        <w:t>纳税人税务登记号或统一社会信用代码：91510726MA624H8M99</w:t>
      </w:r>
    </w:p>
    <w:p>
      <w:pPr>
        <w:spacing w:line="360" w:lineRule="auto"/>
        <w:rPr>
          <w:rFonts w:hint="eastAsia" w:ascii="宋体" w:hAnsi="宋体"/>
          <w:sz w:val="24"/>
        </w:rPr>
      </w:pPr>
      <w:r>
        <w:rPr>
          <w:rFonts w:hint="eastAsia" w:ascii="宋体" w:hAnsi="宋体"/>
          <w:sz w:val="24"/>
        </w:rPr>
        <w:t xml:space="preserve">纳税人登记地址：北川羌族自治县永昌镇滨河北路142号 </w:t>
      </w:r>
    </w:p>
    <w:p>
      <w:pPr>
        <w:spacing w:line="360" w:lineRule="auto"/>
        <w:rPr>
          <w:rFonts w:hint="eastAsia" w:ascii="宋体" w:hAnsi="宋体"/>
          <w:sz w:val="24"/>
        </w:rPr>
      </w:pPr>
      <w:r>
        <w:rPr>
          <w:rFonts w:hint="eastAsia" w:ascii="宋体" w:hAnsi="宋体"/>
          <w:sz w:val="24"/>
        </w:rPr>
        <w:t>税务登记联系电话：0816-</w:t>
      </w:r>
      <w:r>
        <w:rPr>
          <w:rFonts w:hint="eastAsia" w:ascii="宋体" w:hAnsi="宋体"/>
          <w:sz w:val="24"/>
          <w:lang w:val="en-US" w:eastAsia="zh-CN"/>
        </w:rPr>
        <w:t>4235508</w:t>
      </w:r>
    </w:p>
    <w:p>
      <w:pPr>
        <w:spacing w:line="360" w:lineRule="auto"/>
        <w:rPr>
          <w:rFonts w:hint="eastAsia" w:ascii="宋体" w:hAnsi="宋体"/>
          <w:sz w:val="24"/>
        </w:rPr>
      </w:pPr>
      <w:r>
        <w:rPr>
          <w:rFonts w:hint="eastAsia" w:ascii="宋体" w:hAnsi="宋体"/>
          <w:sz w:val="24"/>
        </w:rPr>
        <w:t>税务开户银行名称：农行北川支行</w:t>
      </w:r>
    </w:p>
    <w:p>
      <w:pPr>
        <w:spacing w:line="360" w:lineRule="auto"/>
        <w:rPr>
          <w:rFonts w:hint="eastAsia" w:ascii="宋体" w:hAnsi="宋体"/>
          <w:sz w:val="24"/>
        </w:rPr>
      </w:pPr>
      <w:r>
        <w:rPr>
          <w:rFonts w:hint="eastAsia" w:ascii="宋体" w:hAnsi="宋体"/>
          <w:sz w:val="24"/>
        </w:rPr>
        <w:t>税务开户银行账号：2226</w:t>
      </w:r>
      <w:r>
        <w:rPr>
          <w:rFonts w:hint="eastAsia" w:ascii="宋体" w:hAnsi="宋体"/>
          <w:sz w:val="24"/>
          <w:lang w:val="en-US" w:eastAsia="zh-CN"/>
        </w:rPr>
        <w:t xml:space="preserve"> </w:t>
      </w:r>
      <w:r>
        <w:rPr>
          <w:rFonts w:hint="eastAsia" w:ascii="宋体" w:hAnsi="宋体"/>
          <w:sz w:val="24"/>
        </w:rPr>
        <w:t>6201</w:t>
      </w:r>
      <w:r>
        <w:rPr>
          <w:rFonts w:hint="eastAsia" w:ascii="宋体" w:hAnsi="宋体"/>
          <w:sz w:val="24"/>
          <w:lang w:val="en-US" w:eastAsia="zh-CN"/>
        </w:rPr>
        <w:t xml:space="preserve"> </w:t>
      </w:r>
      <w:r>
        <w:rPr>
          <w:rFonts w:hint="eastAsia" w:ascii="宋体" w:hAnsi="宋体"/>
          <w:sz w:val="24"/>
        </w:rPr>
        <w:t>0400</w:t>
      </w:r>
      <w:r>
        <w:rPr>
          <w:rFonts w:hint="eastAsia" w:ascii="宋体" w:hAnsi="宋体"/>
          <w:sz w:val="24"/>
          <w:lang w:val="en-US" w:eastAsia="zh-CN"/>
        </w:rPr>
        <w:t xml:space="preserve"> </w:t>
      </w:r>
      <w:r>
        <w:rPr>
          <w:rFonts w:hint="eastAsia" w:ascii="宋体" w:hAnsi="宋体"/>
          <w:sz w:val="24"/>
        </w:rPr>
        <w:t>1498</w:t>
      </w:r>
      <w:r>
        <w:rPr>
          <w:rFonts w:hint="eastAsia" w:ascii="宋体" w:hAnsi="宋体"/>
          <w:sz w:val="24"/>
          <w:lang w:val="en-US" w:eastAsia="zh-CN"/>
        </w:rPr>
        <w:t xml:space="preserve"> </w:t>
      </w:r>
      <w:r>
        <w:rPr>
          <w:rFonts w:hint="eastAsia" w:ascii="宋体" w:hAnsi="宋体"/>
          <w:sz w:val="24"/>
        </w:rPr>
        <w:t>0</w:t>
      </w:r>
    </w:p>
    <w:p>
      <w:pPr>
        <w:spacing w:line="360" w:lineRule="auto"/>
        <w:rPr>
          <w:rFonts w:ascii="宋体" w:hAnsi="宋体"/>
          <w:sz w:val="24"/>
        </w:rPr>
      </w:pPr>
    </w:p>
    <w:p>
      <w:pPr>
        <w:spacing w:line="360" w:lineRule="auto"/>
        <w:rPr>
          <w:rFonts w:hint="eastAsia" w:ascii="宋体" w:hAnsi="宋体"/>
          <w:sz w:val="24"/>
        </w:rPr>
      </w:pPr>
      <w:r>
        <w:rPr>
          <w:rFonts w:hint="eastAsia" w:ascii="宋体" w:hAnsi="宋体"/>
          <w:sz w:val="24"/>
        </w:rPr>
        <w:t>方收款账户信息：</w:t>
      </w:r>
    </w:p>
    <w:p>
      <w:pPr>
        <w:spacing w:line="360" w:lineRule="auto"/>
        <w:rPr>
          <w:rFonts w:hint="eastAsia"/>
        </w:rPr>
      </w:pPr>
      <w:r>
        <w:rPr>
          <w:rFonts w:hint="eastAsia" w:ascii="宋体" w:hAnsi="宋体"/>
          <w:sz w:val="24"/>
        </w:rPr>
        <w:t>纳税人税务登记号或统一社会信用代码：</w:t>
      </w:r>
    </w:p>
    <w:p>
      <w:pPr>
        <w:spacing w:line="360" w:lineRule="auto"/>
        <w:rPr>
          <w:rFonts w:ascii="宋体" w:hAnsi="宋体"/>
          <w:sz w:val="24"/>
        </w:rPr>
      </w:pPr>
      <w:r>
        <w:rPr>
          <w:rFonts w:hint="eastAsia" w:ascii="宋体" w:hAnsi="宋体"/>
          <w:sz w:val="24"/>
        </w:rPr>
        <w:t>户名：</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账号：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4.</w:t>
      </w:r>
      <w:r>
        <w:rPr>
          <w:rFonts w:ascii="宋体" w:hAnsi="宋体"/>
          <w:sz w:val="24"/>
        </w:rPr>
        <w:t>2</w:t>
      </w:r>
      <w:r>
        <w:rPr>
          <w:rFonts w:hint="eastAsia" w:ascii="宋体" w:hAnsi="宋体"/>
          <w:sz w:val="24"/>
        </w:rPr>
        <w:t xml:space="preserve">  无论本合同有何约定，如乙方为增值税纳税人，乙方应在甲方付款前向甲方提供相应款项的增值税专用发票（含两联：发票联与抵扣联）；如乙方为非增值税纳税人，乙方应在甲方付款前向甲方提供相应款项的普通发票。若乙方提供的发票不符合甲方要求，则甲方有权拒付或延付款并不因此承担违约责任。</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五、违约责任</w:t>
      </w:r>
    </w:p>
    <w:p>
      <w:pPr>
        <w:spacing w:line="360" w:lineRule="auto"/>
        <w:rPr>
          <w:rFonts w:ascii="宋体" w:hAnsi="宋体"/>
          <w:sz w:val="24"/>
        </w:rPr>
      </w:pPr>
      <w:r>
        <w:rPr>
          <w:rFonts w:hint="eastAsia" w:ascii="宋体" w:hAnsi="宋体"/>
          <w:sz w:val="24"/>
        </w:rPr>
        <w:t>5.1  如因乙方自身原因导致其未能在本合同约定工期内（除执行过程中该时间有可能经双方同意予以改动或因甲方现场条件不具备造成时间延长）提供完毕全部服务，乙方应向甲方支付迟延部分的合同金额[    ]%的违约金。如延期超过【  】日，甲方有权提前终止本合同，并要求乙方赔偿其因此遭受的损失。</w:t>
      </w:r>
    </w:p>
    <w:p>
      <w:pPr>
        <w:pStyle w:val="22"/>
        <w:snapToGrid w:val="0"/>
        <w:spacing w:line="360" w:lineRule="auto"/>
        <w:ind w:left="2"/>
        <w:rPr>
          <w:rFonts w:hAnsi="宋体"/>
          <w:sz w:val="24"/>
          <w:szCs w:val="24"/>
        </w:rPr>
      </w:pPr>
      <w:r>
        <w:rPr>
          <w:rFonts w:hint="eastAsia" w:hAnsi="宋体"/>
          <w:sz w:val="24"/>
          <w:szCs w:val="24"/>
        </w:rPr>
        <w:t>5.2 乙方提供的服务不能达到约定或国家规定的质量标准的，甲方有权拒付未付款项并视情况同意乙方予以返工或调整，所产生的返工或调整的一切费用，由乙方承担。在乙方完成该等返工或调整之前，乙方无权要求甲方支付任何款项。如乙方未能在甲方同意的期限内按甲方要求或本合同规定进行返工或调整，甲方有权视服务的具体质量选择：</w:t>
      </w:r>
    </w:p>
    <w:p>
      <w:pPr>
        <w:pStyle w:val="22"/>
        <w:snapToGrid w:val="0"/>
        <w:spacing w:line="360" w:lineRule="auto"/>
        <w:ind w:left="2"/>
        <w:rPr>
          <w:rFonts w:hAnsi="宋体"/>
          <w:sz w:val="24"/>
          <w:szCs w:val="24"/>
        </w:rPr>
      </w:pPr>
      <w:r>
        <w:rPr>
          <w:rFonts w:hint="eastAsia" w:hAnsi="宋体"/>
          <w:sz w:val="24"/>
          <w:szCs w:val="24"/>
        </w:rPr>
        <w:t>5.2.1  要求乙方降低价格；或</w:t>
      </w:r>
    </w:p>
    <w:p>
      <w:pPr>
        <w:pStyle w:val="22"/>
        <w:snapToGrid w:val="0"/>
        <w:spacing w:line="360" w:lineRule="auto"/>
        <w:ind w:left="2"/>
        <w:rPr>
          <w:rFonts w:hAnsi="宋体"/>
          <w:sz w:val="24"/>
          <w:szCs w:val="24"/>
        </w:rPr>
      </w:pPr>
      <w:r>
        <w:rPr>
          <w:rFonts w:hint="eastAsia" w:hAnsi="宋体"/>
          <w:sz w:val="24"/>
          <w:szCs w:val="24"/>
        </w:rPr>
        <w:t>5.2.2  提前终止本合同，甲方已支付预付款的，乙方应自收到甲方书面通知之日后【 】日内，返还甲方已支付款项，后续服务费不足予以支付；乙方应向甲方支付合同总价款[     ]%的违约金，且返还甲方已经支付的服务费用和代支付的服务费用。</w:t>
      </w:r>
    </w:p>
    <w:p>
      <w:pPr>
        <w:spacing w:line="360" w:lineRule="auto"/>
        <w:rPr>
          <w:rFonts w:ascii="宋体" w:hAnsi="宋体"/>
          <w:sz w:val="24"/>
        </w:rPr>
      </w:pPr>
      <w:r>
        <w:rPr>
          <w:rFonts w:hint="eastAsia" w:ascii="宋体" w:hAnsi="宋体"/>
          <w:sz w:val="24"/>
        </w:rPr>
        <w:t>5.3 除非双方协议提前终止本合同，或甲方按照本合同约定提前终止本合同，因一方违约导致合同无法履行，违约方按照本合同约定承担违约责任后仍应继续履行本合同。</w:t>
      </w:r>
    </w:p>
    <w:p>
      <w:pPr>
        <w:spacing w:line="360" w:lineRule="auto"/>
        <w:rPr>
          <w:rFonts w:hint="eastAsia" w:ascii="宋体" w:hAnsi="宋体"/>
          <w:sz w:val="24"/>
        </w:rPr>
      </w:pPr>
      <w:r>
        <w:rPr>
          <w:rFonts w:ascii="宋体" w:hAnsi="宋体"/>
          <w:sz w:val="24"/>
        </w:rPr>
        <w:t>5.</w:t>
      </w:r>
      <w:r>
        <w:rPr>
          <w:rFonts w:hint="eastAsia" w:ascii="宋体" w:hAnsi="宋体"/>
          <w:sz w:val="24"/>
        </w:rPr>
        <w:t>4</w:t>
      </w:r>
      <w:r>
        <w:rPr>
          <w:rFonts w:ascii="宋体" w:hAnsi="宋体"/>
          <w:sz w:val="24"/>
        </w:rPr>
        <w:t xml:space="preserve"> </w:t>
      </w:r>
      <w:r>
        <w:rPr>
          <w:rFonts w:hint="eastAsia" w:ascii="宋体" w:hAnsi="宋体"/>
          <w:sz w:val="24"/>
        </w:rPr>
        <w:t>甲、乙双方一致确认 ，因乙方违反本合同约定，给甲方造成的任何损失，乙方应承担相应的赔偿责任。</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六、安全责任</w:t>
      </w:r>
    </w:p>
    <w:p>
      <w:pPr>
        <w:pStyle w:val="17"/>
        <w:rPr>
          <w:rFonts w:ascii="宋体" w:hAnsi="宋体"/>
          <w:sz w:val="24"/>
        </w:rPr>
      </w:pPr>
      <w:r>
        <w:rPr>
          <w:rFonts w:hint="eastAsia" w:ascii="宋体" w:hAnsi="宋体"/>
          <w:sz w:val="24"/>
        </w:rPr>
        <w:t>如涉及相关业务甲、乙双方需单独签订安全责任书。</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七、甲、乙双方一致确认，甲方按照本合同约定提前终止本合同的，有权提前[    ]个工作日书面通知乙方以提前终止本合同，该等通知自到达乙方或其授权联系人处即行生效。乙方同意，甲方按照本条约定提前终止本合同不视为对本合同的违反，不承担任何违约责任，乙方应返还甲方按照本合同已支付的款项（如有）。</w:t>
      </w:r>
    </w:p>
    <w:p>
      <w:pPr>
        <w:spacing w:line="360" w:lineRule="auto"/>
        <w:rPr>
          <w:rFonts w:ascii="宋体" w:hAnsi="宋体"/>
          <w:sz w:val="24"/>
        </w:rPr>
      </w:pPr>
    </w:p>
    <w:p>
      <w:pPr>
        <w:spacing w:line="360" w:lineRule="auto"/>
        <w:rPr>
          <w:rFonts w:hint="eastAsia" w:ascii="宋体" w:hAnsi="宋体"/>
          <w:sz w:val="24"/>
        </w:rPr>
      </w:pPr>
      <w:r>
        <w:rPr>
          <w:rFonts w:hint="eastAsia" w:ascii="宋体" w:hAnsi="宋体"/>
          <w:sz w:val="24"/>
        </w:rPr>
        <w:t>八、廉洁履约</w:t>
      </w:r>
    </w:p>
    <w:p>
      <w:pPr>
        <w:spacing w:line="36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1 乙方应始终采取适当的措施，防止乙方，或者代理乙方履行合同之一方，或者代替乙方提供服务之一方（前述乙方均包括但不限于乙方的雇员、代理人、子公司、代表和分包商等）在任何情况下违反或者试图违反任何关于反行贿受贿、反贪污等法律（无论乙方是否知晓该种行为）。</w:t>
      </w:r>
    </w:p>
    <w:p>
      <w:pPr>
        <w:spacing w:line="36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2 若乙方，或者代理乙方履行合同之一方，或者代表乙方提供服务之一方（前述乙方均包括但不限于乙方的雇员、代理人、子公司、代表和分包商等）在任何情况下违反或者试图违反任何关于反行贿受贿、反贪污等法律（无论乙方是否知晓该种行为），甲方有权解除本合同，乙方应赔偿甲方因本合同终止而发生的所有成本、损失、损害和费用。为避免疑义，本合同的终止并不影响甲方在本合同项下或者其他方面的其他权利和补救方法。</w:t>
      </w:r>
    </w:p>
    <w:p>
      <w:pPr>
        <w:spacing w:line="36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 若乙方雇佣的或者代表其利益的任何人违反或者试图违反任何关于反行贿受贿、反贪污的法律，乙方应立即通知甲方。关于此事的所有通知应被发送到以下电子邮箱：[</w:t>
      </w:r>
      <w:r>
        <w:rPr>
          <w:rFonts w:hint="eastAsia" w:ascii="宋体" w:hAnsi="宋体"/>
          <w:color w:val="FF0000"/>
          <w:sz w:val="24"/>
        </w:rPr>
        <w:t xml:space="preserve">jjjcb.protrendwater.com </w:t>
      </w:r>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九、保密条款:甲方因履行本合同向乙方所提供的图纸、文件等资料（如有），乙方应严格进行保密，且不得将该等资料向任何第三方复制或披露。本条款不因本合同的终止而失效。乙方违反本条款，应承担由此给甲方造成的一切损失。</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十、争议解决方式：本合同适用中华人民共和国法律并据其解释。因执行本合同发生争议，由双方协商解决；协商解决不成的，任何一方可以直接向甲方所在人民法院起诉。</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十一、合同生效及其他：本合同壹式【】份，双方各执贰【】份，均具有同等效力。本合同自甲乙双方法定代表人或授权代表签字并盖章之日起生效。本合同执行期间如有未尽事宜，由双方协商后可另行签署补充协议，补充协议与本合同具有同等法律效力。</w:t>
      </w:r>
    </w:p>
    <w:p>
      <w:pPr>
        <w:spacing w:line="360" w:lineRule="auto"/>
        <w:rPr>
          <w:rFonts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default" w:ascii="宋体" w:hAnsi="宋体" w:eastAsia="宋体"/>
          <w:sz w:val="24"/>
          <w:lang w:val="en-US" w:eastAsia="zh-CN"/>
        </w:rPr>
      </w:pPr>
      <w:r>
        <w:rPr>
          <w:rFonts w:hint="eastAsia" w:ascii="宋体" w:hAnsi="宋体"/>
          <w:sz w:val="24"/>
          <w:lang w:val="en-US" w:eastAsia="zh-CN"/>
        </w:rPr>
        <w:t>此页无正文</w:t>
      </w: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 xml:space="preserve">甲    方（公章）： </w:t>
      </w:r>
    </w:p>
    <w:p>
      <w:pPr>
        <w:spacing w:line="360" w:lineRule="auto"/>
        <w:rPr>
          <w:rFonts w:ascii="宋体" w:hAnsi="宋体"/>
          <w:sz w:val="24"/>
        </w:rPr>
      </w:pPr>
      <w:r>
        <w:rPr>
          <w:rFonts w:hint="eastAsia" w:ascii="宋体" w:hAnsi="宋体"/>
          <w:sz w:val="24"/>
        </w:rPr>
        <w:t xml:space="preserve">法定代表人或授权代表（签字或盖章）：                         </w:t>
      </w:r>
    </w:p>
    <w:p>
      <w:pPr>
        <w:spacing w:line="360" w:lineRule="auto"/>
        <w:rPr>
          <w:rFonts w:ascii="宋体" w:hAnsi="宋体"/>
          <w:sz w:val="24"/>
        </w:rPr>
      </w:pPr>
      <w:r>
        <w:rPr>
          <w:rFonts w:hint="eastAsia" w:ascii="宋体" w:hAnsi="宋体"/>
          <w:sz w:val="24"/>
        </w:rPr>
        <w:t>签署日期：</w:t>
      </w:r>
    </w:p>
    <w:p>
      <w:pPr>
        <w:spacing w:line="360" w:lineRule="auto"/>
        <w:rPr>
          <w:rFonts w:hint="eastAsia" w:ascii="宋体" w:hAnsi="宋体"/>
          <w:sz w:val="24"/>
        </w:rPr>
      </w:pPr>
      <w:r>
        <w:rPr>
          <w:rFonts w:hint="eastAsia" w:ascii="宋体" w:hAnsi="宋体"/>
          <w:sz w:val="24"/>
        </w:rPr>
        <w:t>经办人：</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乙    方（公章）：</w:t>
      </w:r>
    </w:p>
    <w:p>
      <w:pPr>
        <w:spacing w:line="360" w:lineRule="auto"/>
      </w:pPr>
      <w:r>
        <w:rPr>
          <w:rFonts w:hint="eastAsia" w:ascii="宋体" w:hAnsi="宋体"/>
          <w:sz w:val="24"/>
        </w:rPr>
        <w:t>法定代表人或授权代表（签字或盖章）:</w:t>
      </w:r>
    </w:p>
    <w:p>
      <w:pPr>
        <w:spacing w:line="360" w:lineRule="auto"/>
      </w:pPr>
      <w:r>
        <w:rPr>
          <w:rFonts w:hint="eastAsia" w:ascii="Calibri" w:hAnsi="Calibri"/>
          <w:sz w:val="24"/>
        </w:rPr>
        <w:t>签署日期：</w:t>
      </w:r>
    </w:p>
    <w:p>
      <w:pPr>
        <w:spacing w:line="360" w:lineRule="auto"/>
        <w:rPr>
          <w:rFonts w:ascii="宋体" w:hAnsi="宋体"/>
          <w:b/>
          <w:sz w:val="24"/>
        </w:rPr>
      </w:pPr>
      <w:r>
        <w:rPr>
          <w:rFonts w:hint="eastAsia" w:ascii="宋体" w:hAnsi="宋体"/>
          <w:sz w:val="24"/>
        </w:rPr>
        <w:t>经办人：</w:t>
      </w:r>
    </w:p>
    <w:p>
      <w:pPr>
        <w:spacing w:line="360" w:lineRule="auto"/>
        <w:ind w:firstLine="560" w:firstLineChars="200"/>
        <w:rPr>
          <w:rFonts w:hint="eastAsia" w:eastAsia="仿宋_GB2312"/>
          <w:color w:val="000000"/>
          <w:sz w:val="28"/>
          <w:szCs w:val="28"/>
        </w:rPr>
      </w:pPr>
    </w:p>
    <w:p>
      <w:pPr>
        <w:pStyle w:val="5"/>
        <w:ind w:left="0" w:firstLine="0"/>
        <w:rPr>
          <w:rFonts w:hint="eastAsia"/>
          <w:sz w:val="28"/>
          <w:szCs w:val="28"/>
        </w:rPr>
      </w:pPr>
    </w:p>
    <w:p>
      <w:pPr>
        <w:pStyle w:val="5"/>
        <w:ind w:left="0" w:firstLine="0"/>
        <w:rPr>
          <w:rFonts w:hint="eastAsia"/>
          <w:sz w:val="28"/>
          <w:szCs w:val="28"/>
        </w:rPr>
      </w:pPr>
    </w:p>
    <w:sectPr>
      <w:footerReference r:id="rId3" w:type="default"/>
      <w:pgSz w:w="11906" w:h="16838"/>
      <w:pgMar w:top="1440" w:right="1800" w:bottom="1440" w:left="1800" w:header="113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00"/>
    <w:family w:val="roman"/>
    <w:pitch w:val="default"/>
    <w:sig w:usb0="00000003" w:usb1="00000000" w:usb2="00000000" w:usb3="00000000" w:csb0="0000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2010600030101010101"/>
    <w:charset w:val="86"/>
    <w:family w:val="roma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16</w:t>
    </w:r>
    <w:r>
      <w:fldChar w:fldCharType="end"/>
    </w:r>
  </w:p>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pStyle w:val="3"/>
      <w:suff w:val="space"/>
      <w:lvlText w:val="第%1章"/>
      <w:lvlJc w:val="center"/>
      <w:pPr>
        <w:ind w:left="851" w:hanging="851"/>
      </w:pPr>
      <w:rPr>
        <w:rFonts w:hint="default" w:ascii="Arial" w:hAnsi="Arial" w:eastAsia="黑体" w:cs="Times New Roman"/>
        <w:b/>
        <w:i w:val="0"/>
        <w:snapToGrid/>
        <w:spacing w:val="0"/>
        <w:kern w:val="44"/>
        <w:position w:val="0"/>
        <w:sz w:val="32"/>
        <w:szCs w:val="44"/>
        <w:lang w:val="en-US"/>
      </w:rPr>
    </w:lvl>
    <w:lvl w:ilvl="1" w:tentative="0">
      <w:start w:val="1"/>
      <w:numFmt w:val="decimal"/>
      <w:isLgl/>
      <w:suff w:val="space"/>
      <w:lvlText w:val="%1.%2"/>
      <w:lvlJc w:val="left"/>
      <w:pPr>
        <w:ind w:left="0" w:firstLine="0"/>
      </w:pPr>
      <w:rPr>
        <w:rFonts w:hint="default" w:ascii="Arial" w:hAnsi="Arial" w:eastAsia="黑体" w:cs="Times New Roman"/>
        <w:b/>
        <w:i w:val="0"/>
        <w:sz w:val="28"/>
        <w:szCs w:val="28"/>
      </w:rPr>
    </w:lvl>
    <w:lvl w:ilvl="2" w:tentative="0">
      <w:start w:val="1"/>
      <w:numFmt w:val="decimal"/>
      <w:isLgl/>
      <w:suff w:val="space"/>
      <w:lvlText w:val="%1.%2.%3"/>
      <w:lvlJc w:val="left"/>
      <w:pPr>
        <w:ind w:left="900" w:hanging="900"/>
      </w:pPr>
      <w:rPr>
        <w:rFonts w:hint="default" w:ascii="Arial" w:hAnsi="Arial" w:eastAsia="黑体" w:cs="Times New Roman"/>
        <w:b w:val="0"/>
        <w:i w:val="0"/>
        <w:sz w:val="24"/>
        <w:szCs w:val="24"/>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160"/>
        </w:tabs>
        <w:ind w:left="2160" w:hanging="2160"/>
      </w:pPr>
      <w:rPr>
        <w:rFonts w:hint="default"/>
      </w:rPr>
    </w:lvl>
    <w:lvl w:ilvl="8" w:tentative="0">
      <w:start w:val="1"/>
      <w:numFmt w:val="decimal"/>
      <w:lvlText w:val="%1.%2.%3.%4.%5.%6.%7.%8.%9"/>
      <w:lvlJc w:val="left"/>
      <w:pPr>
        <w:tabs>
          <w:tab w:val="left" w:pos="2520"/>
        </w:tabs>
        <w:ind w:left="2520" w:hanging="2520"/>
      </w:pPr>
      <w:rPr>
        <w:rFonts w:hint="default"/>
      </w:rPr>
    </w:lvl>
  </w:abstractNum>
  <w:abstractNum w:abstractNumId="1">
    <w:nsid w:val="4CCB48F9"/>
    <w:multiLevelType w:val="multilevel"/>
    <w:tmpl w:val="4CCB48F9"/>
    <w:lvl w:ilvl="0" w:tentative="0">
      <w:start w:val="1"/>
      <w:numFmt w:val="decimal"/>
      <w:pStyle w:val="62"/>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EE"/>
    <w:rsid w:val="00000078"/>
    <w:rsid w:val="00001194"/>
    <w:rsid w:val="00001517"/>
    <w:rsid w:val="000018F6"/>
    <w:rsid w:val="00003468"/>
    <w:rsid w:val="00003EB5"/>
    <w:rsid w:val="0000500A"/>
    <w:rsid w:val="00006752"/>
    <w:rsid w:val="00007D5E"/>
    <w:rsid w:val="000107D4"/>
    <w:rsid w:val="00010DAE"/>
    <w:rsid w:val="00011324"/>
    <w:rsid w:val="0001236D"/>
    <w:rsid w:val="0001379E"/>
    <w:rsid w:val="00013D84"/>
    <w:rsid w:val="00015AB1"/>
    <w:rsid w:val="000164F8"/>
    <w:rsid w:val="0001758E"/>
    <w:rsid w:val="000201AE"/>
    <w:rsid w:val="00020769"/>
    <w:rsid w:val="0002279A"/>
    <w:rsid w:val="00022DD3"/>
    <w:rsid w:val="000238D0"/>
    <w:rsid w:val="00023ECD"/>
    <w:rsid w:val="00024528"/>
    <w:rsid w:val="00024A36"/>
    <w:rsid w:val="000252B4"/>
    <w:rsid w:val="00025492"/>
    <w:rsid w:val="00026E68"/>
    <w:rsid w:val="000306F8"/>
    <w:rsid w:val="00030D87"/>
    <w:rsid w:val="000322A3"/>
    <w:rsid w:val="000347AE"/>
    <w:rsid w:val="00034BA1"/>
    <w:rsid w:val="00036516"/>
    <w:rsid w:val="00037F0D"/>
    <w:rsid w:val="000403EB"/>
    <w:rsid w:val="000414E8"/>
    <w:rsid w:val="000418E9"/>
    <w:rsid w:val="000421EA"/>
    <w:rsid w:val="00042C01"/>
    <w:rsid w:val="00043604"/>
    <w:rsid w:val="00044D13"/>
    <w:rsid w:val="00046D9B"/>
    <w:rsid w:val="00047173"/>
    <w:rsid w:val="00047632"/>
    <w:rsid w:val="00051EA5"/>
    <w:rsid w:val="000521C2"/>
    <w:rsid w:val="000529A2"/>
    <w:rsid w:val="000536AB"/>
    <w:rsid w:val="00054234"/>
    <w:rsid w:val="00056029"/>
    <w:rsid w:val="00057617"/>
    <w:rsid w:val="00057BCE"/>
    <w:rsid w:val="00061783"/>
    <w:rsid w:val="00061D52"/>
    <w:rsid w:val="000642A3"/>
    <w:rsid w:val="000649F5"/>
    <w:rsid w:val="00064D8C"/>
    <w:rsid w:val="000658B6"/>
    <w:rsid w:val="000658DC"/>
    <w:rsid w:val="0006656E"/>
    <w:rsid w:val="00066A5C"/>
    <w:rsid w:val="0006711F"/>
    <w:rsid w:val="00067864"/>
    <w:rsid w:val="00067CD9"/>
    <w:rsid w:val="0007000A"/>
    <w:rsid w:val="0007072C"/>
    <w:rsid w:val="000711F1"/>
    <w:rsid w:val="00075CC2"/>
    <w:rsid w:val="00077442"/>
    <w:rsid w:val="000814E9"/>
    <w:rsid w:val="000817C8"/>
    <w:rsid w:val="00082464"/>
    <w:rsid w:val="0008312F"/>
    <w:rsid w:val="0008367F"/>
    <w:rsid w:val="00083AED"/>
    <w:rsid w:val="000855B3"/>
    <w:rsid w:val="000856CF"/>
    <w:rsid w:val="00085B1C"/>
    <w:rsid w:val="00086569"/>
    <w:rsid w:val="000867C7"/>
    <w:rsid w:val="00086876"/>
    <w:rsid w:val="000907C5"/>
    <w:rsid w:val="00096367"/>
    <w:rsid w:val="000979A6"/>
    <w:rsid w:val="000A0973"/>
    <w:rsid w:val="000A0FC2"/>
    <w:rsid w:val="000A1675"/>
    <w:rsid w:val="000A2342"/>
    <w:rsid w:val="000A3AD1"/>
    <w:rsid w:val="000A5CCD"/>
    <w:rsid w:val="000A6D92"/>
    <w:rsid w:val="000A7B59"/>
    <w:rsid w:val="000A7E87"/>
    <w:rsid w:val="000A7F81"/>
    <w:rsid w:val="000B2EA3"/>
    <w:rsid w:val="000B2FC3"/>
    <w:rsid w:val="000B5536"/>
    <w:rsid w:val="000B6FB3"/>
    <w:rsid w:val="000C0029"/>
    <w:rsid w:val="000C0560"/>
    <w:rsid w:val="000C13A4"/>
    <w:rsid w:val="000C19CB"/>
    <w:rsid w:val="000C1DA0"/>
    <w:rsid w:val="000C24EF"/>
    <w:rsid w:val="000C2AE8"/>
    <w:rsid w:val="000C4F52"/>
    <w:rsid w:val="000C584F"/>
    <w:rsid w:val="000C5F40"/>
    <w:rsid w:val="000C646E"/>
    <w:rsid w:val="000C6C61"/>
    <w:rsid w:val="000C7146"/>
    <w:rsid w:val="000C71AB"/>
    <w:rsid w:val="000C744A"/>
    <w:rsid w:val="000C7A5A"/>
    <w:rsid w:val="000C7DC7"/>
    <w:rsid w:val="000D1CD7"/>
    <w:rsid w:val="000D3FAE"/>
    <w:rsid w:val="000D56C6"/>
    <w:rsid w:val="000D660A"/>
    <w:rsid w:val="000D67C6"/>
    <w:rsid w:val="000D68B2"/>
    <w:rsid w:val="000D72C8"/>
    <w:rsid w:val="000D7846"/>
    <w:rsid w:val="000E08F9"/>
    <w:rsid w:val="000E0911"/>
    <w:rsid w:val="000E12BA"/>
    <w:rsid w:val="000E279B"/>
    <w:rsid w:val="000F1BC2"/>
    <w:rsid w:val="000F395E"/>
    <w:rsid w:val="000F474F"/>
    <w:rsid w:val="000F5837"/>
    <w:rsid w:val="000F60DE"/>
    <w:rsid w:val="000F66FC"/>
    <w:rsid w:val="000F6791"/>
    <w:rsid w:val="000F7509"/>
    <w:rsid w:val="000F7B04"/>
    <w:rsid w:val="00100686"/>
    <w:rsid w:val="00100BEB"/>
    <w:rsid w:val="0010192B"/>
    <w:rsid w:val="00102CB0"/>
    <w:rsid w:val="001032AE"/>
    <w:rsid w:val="00104712"/>
    <w:rsid w:val="00107D77"/>
    <w:rsid w:val="00111874"/>
    <w:rsid w:val="00111FD4"/>
    <w:rsid w:val="00113098"/>
    <w:rsid w:val="00114D67"/>
    <w:rsid w:val="001153EE"/>
    <w:rsid w:val="001175ED"/>
    <w:rsid w:val="00122AE0"/>
    <w:rsid w:val="00123E1B"/>
    <w:rsid w:val="001247DE"/>
    <w:rsid w:val="00127D98"/>
    <w:rsid w:val="0013008D"/>
    <w:rsid w:val="00130378"/>
    <w:rsid w:val="001318BF"/>
    <w:rsid w:val="00131FA7"/>
    <w:rsid w:val="00134C2D"/>
    <w:rsid w:val="00134D88"/>
    <w:rsid w:val="00136C4E"/>
    <w:rsid w:val="00136F9B"/>
    <w:rsid w:val="00137D3F"/>
    <w:rsid w:val="00140393"/>
    <w:rsid w:val="00141819"/>
    <w:rsid w:val="0014371A"/>
    <w:rsid w:val="00143AED"/>
    <w:rsid w:val="00144ED4"/>
    <w:rsid w:val="001458F2"/>
    <w:rsid w:val="00145CBC"/>
    <w:rsid w:val="001466C9"/>
    <w:rsid w:val="00147BEA"/>
    <w:rsid w:val="00147F8D"/>
    <w:rsid w:val="00151C7A"/>
    <w:rsid w:val="001527B2"/>
    <w:rsid w:val="0015405F"/>
    <w:rsid w:val="00154200"/>
    <w:rsid w:val="00156238"/>
    <w:rsid w:val="00156848"/>
    <w:rsid w:val="001569D5"/>
    <w:rsid w:val="00162181"/>
    <w:rsid w:val="00165F40"/>
    <w:rsid w:val="00166170"/>
    <w:rsid w:val="00167FCE"/>
    <w:rsid w:val="00170A7E"/>
    <w:rsid w:val="00170C30"/>
    <w:rsid w:val="00171F96"/>
    <w:rsid w:val="0017443C"/>
    <w:rsid w:val="001750E0"/>
    <w:rsid w:val="00175AB3"/>
    <w:rsid w:val="00180B2F"/>
    <w:rsid w:val="0018272F"/>
    <w:rsid w:val="001848D2"/>
    <w:rsid w:val="00184975"/>
    <w:rsid w:val="001855A8"/>
    <w:rsid w:val="00187C5C"/>
    <w:rsid w:val="00192D1C"/>
    <w:rsid w:val="0019389D"/>
    <w:rsid w:val="00193C10"/>
    <w:rsid w:val="00193D5C"/>
    <w:rsid w:val="00196089"/>
    <w:rsid w:val="00196E4A"/>
    <w:rsid w:val="0019703D"/>
    <w:rsid w:val="00197467"/>
    <w:rsid w:val="001A0BB4"/>
    <w:rsid w:val="001A296B"/>
    <w:rsid w:val="001A2CFA"/>
    <w:rsid w:val="001A2FB1"/>
    <w:rsid w:val="001A38D6"/>
    <w:rsid w:val="001A5453"/>
    <w:rsid w:val="001B0B15"/>
    <w:rsid w:val="001B0F3A"/>
    <w:rsid w:val="001B4627"/>
    <w:rsid w:val="001B5FC3"/>
    <w:rsid w:val="001B621B"/>
    <w:rsid w:val="001B74C7"/>
    <w:rsid w:val="001B7CE1"/>
    <w:rsid w:val="001C0333"/>
    <w:rsid w:val="001C1E6F"/>
    <w:rsid w:val="001C4BB6"/>
    <w:rsid w:val="001C6C31"/>
    <w:rsid w:val="001D0228"/>
    <w:rsid w:val="001D0E2A"/>
    <w:rsid w:val="001D2842"/>
    <w:rsid w:val="001D2B44"/>
    <w:rsid w:val="001D37C2"/>
    <w:rsid w:val="001D3B48"/>
    <w:rsid w:val="001D42B0"/>
    <w:rsid w:val="001D48FA"/>
    <w:rsid w:val="001D752A"/>
    <w:rsid w:val="001D762D"/>
    <w:rsid w:val="001E2919"/>
    <w:rsid w:val="001E33EF"/>
    <w:rsid w:val="001E514C"/>
    <w:rsid w:val="001E6CED"/>
    <w:rsid w:val="001F06F6"/>
    <w:rsid w:val="001F0C8F"/>
    <w:rsid w:val="001F151E"/>
    <w:rsid w:val="001F38FD"/>
    <w:rsid w:val="001F3A10"/>
    <w:rsid w:val="001F3A51"/>
    <w:rsid w:val="001F3ACB"/>
    <w:rsid w:val="001F3D80"/>
    <w:rsid w:val="001F47AC"/>
    <w:rsid w:val="00200228"/>
    <w:rsid w:val="00200994"/>
    <w:rsid w:val="00200AEE"/>
    <w:rsid w:val="002012EB"/>
    <w:rsid w:val="00202794"/>
    <w:rsid w:val="002041A1"/>
    <w:rsid w:val="0020757E"/>
    <w:rsid w:val="0021016F"/>
    <w:rsid w:val="002119CC"/>
    <w:rsid w:val="00211F71"/>
    <w:rsid w:val="00213078"/>
    <w:rsid w:val="00214F6B"/>
    <w:rsid w:val="002152E3"/>
    <w:rsid w:val="002154BC"/>
    <w:rsid w:val="002166F3"/>
    <w:rsid w:val="00216816"/>
    <w:rsid w:val="00217E66"/>
    <w:rsid w:val="002203B0"/>
    <w:rsid w:val="002241DC"/>
    <w:rsid w:val="00225840"/>
    <w:rsid w:val="00225D05"/>
    <w:rsid w:val="00227BDA"/>
    <w:rsid w:val="00231412"/>
    <w:rsid w:val="00231BF3"/>
    <w:rsid w:val="00232017"/>
    <w:rsid w:val="002321D3"/>
    <w:rsid w:val="002336E2"/>
    <w:rsid w:val="0023382B"/>
    <w:rsid w:val="00234E6A"/>
    <w:rsid w:val="002353E7"/>
    <w:rsid w:val="00235E5B"/>
    <w:rsid w:val="00235F6A"/>
    <w:rsid w:val="00237FE0"/>
    <w:rsid w:val="002403AF"/>
    <w:rsid w:val="002420B6"/>
    <w:rsid w:val="00242E98"/>
    <w:rsid w:val="00243FC2"/>
    <w:rsid w:val="002442BD"/>
    <w:rsid w:val="00244389"/>
    <w:rsid w:val="0024530F"/>
    <w:rsid w:val="0024707F"/>
    <w:rsid w:val="00247225"/>
    <w:rsid w:val="00247322"/>
    <w:rsid w:val="00247981"/>
    <w:rsid w:val="00247A6F"/>
    <w:rsid w:val="0025103C"/>
    <w:rsid w:val="00253360"/>
    <w:rsid w:val="00256776"/>
    <w:rsid w:val="0026011F"/>
    <w:rsid w:val="00260290"/>
    <w:rsid w:val="0026170D"/>
    <w:rsid w:val="002628F6"/>
    <w:rsid w:val="00262C34"/>
    <w:rsid w:val="0026354C"/>
    <w:rsid w:val="00264500"/>
    <w:rsid w:val="00265CDF"/>
    <w:rsid w:val="00267092"/>
    <w:rsid w:val="002672B7"/>
    <w:rsid w:val="00270E33"/>
    <w:rsid w:val="00271FF0"/>
    <w:rsid w:val="002732C6"/>
    <w:rsid w:val="0027520A"/>
    <w:rsid w:val="00276F49"/>
    <w:rsid w:val="00277210"/>
    <w:rsid w:val="00277236"/>
    <w:rsid w:val="0027764F"/>
    <w:rsid w:val="002823BF"/>
    <w:rsid w:val="002826CC"/>
    <w:rsid w:val="002878FE"/>
    <w:rsid w:val="00287BA7"/>
    <w:rsid w:val="00290266"/>
    <w:rsid w:val="00292DC3"/>
    <w:rsid w:val="00293922"/>
    <w:rsid w:val="00293950"/>
    <w:rsid w:val="00293B42"/>
    <w:rsid w:val="002953E5"/>
    <w:rsid w:val="00296306"/>
    <w:rsid w:val="002A120D"/>
    <w:rsid w:val="002A18EF"/>
    <w:rsid w:val="002A2D47"/>
    <w:rsid w:val="002A3515"/>
    <w:rsid w:val="002A4FFC"/>
    <w:rsid w:val="002A5201"/>
    <w:rsid w:val="002A558B"/>
    <w:rsid w:val="002A65BD"/>
    <w:rsid w:val="002A710F"/>
    <w:rsid w:val="002B05CF"/>
    <w:rsid w:val="002B15EA"/>
    <w:rsid w:val="002B1BD2"/>
    <w:rsid w:val="002B260C"/>
    <w:rsid w:val="002B2B19"/>
    <w:rsid w:val="002B3635"/>
    <w:rsid w:val="002B4013"/>
    <w:rsid w:val="002B565B"/>
    <w:rsid w:val="002B5A23"/>
    <w:rsid w:val="002B6819"/>
    <w:rsid w:val="002C218B"/>
    <w:rsid w:val="002C2C0E"/>
    <w:rsid w:val="002C395A"/>
    <w:rsid w:val="002C4CDE"/>
    <w:rsid w:val="002C5553"/>
    <w:rsid w:val="002C564C"/>
    <w:rsid w:val="002C6C18"/>
    <w:rsid w:val="002D0A57"/>
    <w:rsid w:val="002D370C"/>
    <w:rsid w:val="002D52A9"/>
    <w:rsid w:val="002D644B"/>
    <w:rsid w:val="002E0567"/>
    <w:rsid w:val="002E302E"/>
    <w:rsid w:val="002E3786"/>
    <w:rsid w:val="002E3C06"/>
    <w:rsid w:val="002E57A5"/>
    <w:rsid w:val="002E5983"/>
    <w:rsid w:val="002E74E4"/>
    <w:rsid w:val="002F359F"/>
    <w:rsid w:val="002F36B8"/>
    <w:rsid w:val="0030044B"/>
    <w:rsid w:val="00300D82"/>
    <w:rsid w:val="003031DA"/>
    <w:rsid w:val="003039C8"/>
    <w:rsid w:val="00304958"/>
    <w:rsid w:val="00304A32"/>
    <w:rsid w:val="0030798C"/>
    <w:rsid w:val="00314162"/>
    <w:rsid w:val="0031461E"/>
    <w:rsid w:val="00314F20"/>
    <w:rsid w:val="00315818"/>
    <w:rsid w:val="003159DF"/>
    <w:rsid w:val="00315F72"/>
    <w:rsid w:val="00322417"/>
    <w:rsid w:val="003228A9"/>
    <w:rsid w:val="00322EF9"/>
    <w:rsid w:val="003242AB"/>
    <w:rsid w:val="00324780"/>
    <w:rsid w:val="003249FC"/>
    <w:rsid w:val="00324ADE"/>
    <w:rsid w:val="00325006"/>
    <w:rsid w:val="00325420"/>
    <w:rsid w:val="00325F8B"/>
    <w:rsid w:val="0032612D"/>
    <w:rsid w:val="0033145A"/>
    <w:rsid w:val="003324D9"/>
    <w:rsid w:val="00334E04"/>
    <w:rsid w:val="003364ED"/>
    <w:rsid w:val="0033784B"/>
    <w:rsid w:val="00344109"/>
    <w:rsid w:val="003457DF"/>
    <w:rsid w:val="00345B86"/>
    <w:rsid w:val="00346A6B"/>
    <w:rsid w:val="00350592"/>
    <w:rsid w:val="00351900"/>
    <w:rsid w:val="003544AA"/>
    <w:rsid w:val="00356AB9"/>
    <w:rsid w:val="003578A7"/>
    <w:rsid w:val="00357DA7"/>
    <w:rsid w:val="0036278C"/>
    <w:rsid w:val="00362A0C"/>
    <w:rsid w:val="00362A90"/>
    <w:rsid w:val="0036404B"/>
    <w:rsid w:val="003662BA"/>
    <w:rsid w:val="0037051D"/>
    <w:rsid w:val="0037106D"/>
    <w:rsid w:val="00371976"/>
    <w:rsid w:val="00373497"/>
    <w:rsid w:val="00374A31"/>
    <w:rsid w:val="00374AB6"/>
    <w:rsid w:val="003755B3"/>
    <w:rsid w:val="003802C7"/>
    <w:rsid w:val="00380D64"/>
    <w:rsid w:val="003817AF"/>
    <w:rsid w:val="0038201F"/>
    <w:rsid w:val="00383071"/>
    <w:rsid w:val="003838E6"/>
    <w:rsid w:val="003839D3"/>
    <w:rsid w:val="00384391"/>
    <w:rsid w:val="00384870"/>
    <w:rsid w:val="00385EF5"/>
    <w:rsid w:val="00387AED"/>
    <w:rsid w:val="003909DA"/>
    <w:rsid w:val="00390CC7"/>
    <w:rsid w:val="00391224"/>
    <w:rsid w:val="0039245F"/>
    <w:rsid w:val="00392857"/>
    <w:rsid w:val="00394B38"/>
    <w:rsid w:val="00394C03"/>
    <w:rsid w:val="00395A2B"/>
    <w:rsid w:val="003A1A54"/>
    <w:rsid w:val="003A29AC"/>
    <w:rsid w:val="003A43C1"/>
    <w:rsid w:val="003A6431"/>
    <w:rsid w:val="003B08C1"/>
    <w:rsid w:val="003B19E7"/>
    <w:rsid w:val="003B1F7D"/>
    <w:rsid w:val="003B3090"/>
    <w:rsid w:val="003B3795"/>
    <w:rsid w:val="003B4F5F"/>
    <w:rsid w:val="003B69DF"/>
    <w:rsid w:val="003C0984"/>
    <w:rsid w:val="003C11A8"/>
    <w:rsid w:val="003C2ED1"/>
    <w:rsid w:val="003C485C"/>
    <w:rsid w:val="003C4EBC"/>
    <w:rsid w:val="003C6B52"/>
    <w:rsid w:val="003C6E25"/>
    <w:rsid w:val="003C7952"/>
    <w:rsid w:val="003D171C"/>
    <w:rsid w:val="003D3F90"/>
    <w:rsid w:val="003D4057"/>
    <w:rsid w:val="003D443B"/>
    <w:rsid w:val="003D4EC6"/>
    <w:rsid w:val="003D4FC3"/>
    <w:rsid w:val="003D60E7"/>
    <w:rsid w:val="003D6BB1"/>
    <w:rsid w:val="003E006B"/>
    <w:rsid w:val="003E0953"/>
    <w:rsid w:val="003E0EAC"/>
    <w:rsid w:val="003E25B2"/>
    <w:rsid w:val="003E4D39"/>
    <w:rsid w:val="003E5D24"/>
    <w:rsid w:val="003F17FD"/>
    <w:rsid w:val="003F1F85"/>
    <w:rsid w:val="003F3DAC"/>
    <w:rsid w:val="003F4B79"/>
    <w:rsid w:val="003F5EEB"/>
    <w:rsid w:val="003F617D"/>
    <w:rsid w:val="003F6DF7"/>
    <w:rsid w:val="003F76F1"/>
    <w:rsid w:val="003F7BFC"/>
    <w:rsid w:val="00403A1E"/>
    <w:rsid w:val="00403C16"/>
    <w:rsid w:val="0040474A"/>
    <w:rsid w:val="0040492C"/>
    <w:rsid w:val="004068F8"/>
    <w:rsid w:val="00407857"/>
    <w:rsid w:val="00410FC6"/>
    <w:rsid w:val="00412AB5"/>
    <w:rsid w:val="004168E3"/>
    <w:rsid w:val="00417331"/>
    <w:rsid w:val="0041773B"/>
    <w:rsid w:val="0042022A"/>
    <w:rsid w:val="00420C57"/>
    <w:rsid w:val="00422C77"/>
    <w:rsid w:val="00423F48"/>
    <w:rsid w:val="004240E2"/>
    <w:rsid w:val="00425273"/>
    <w:rsid w:val="00425CF6"/>
    <w:rsid w:val="00426F47"/>
    <w:rsid w:val="00430B07"/>
    <w:rsid w:val="004319BF"/>
    <w:rsid w:val="004337D7"/>
    <w:rsid w:val="00433A20"/>
    <w:rsid w:val="00433E4C"/>
    <w:rsid w:val="00433EEA"/>
    <w:rsid w:val="00434308"/>
    <w:rsid w:val="00434808"/>
    <w:rsid w:val="00440978"/>
    <w:rsid w:val="004414AD"/>
    <w:rsid w:val="0044150F"/>
    <w:rsid w:val="004436FB"/>
    <w:rsid w:val="004438FD"/>
    <w:rsid w:val="00443D67"/>
    <w:rsid w:val="004455CC"/>
    <w:rsid w:val="00446C32"/>
    <w:rsid w:val="004509C7"/>
    <w:rsid w:val="00454113"/>
    <w:rsid w:val="00454513"/>
    <w:rsid w:val="00455E09"/>
    <w:rsid w:val="00456FCC"/>
    <w:rsid w:val="00456FDA"/>
    <w:rsid w:val="004578A9"/>
    <w:rsid w:val="00457AD0"/>
    <w:rsid w:val="00461250"/>
    <w:rsid w:val="004615D6"/>
    <w:rsid w:val="00463909"/>
    <w:rsid w:val="00463C7F"/>
    <w:rsid w:val="0046402C"/>
    <w:rsid w:val="004640EA"/>
    <w:rsid w:val="00464FC2"/>
    <w:rsid w:val="00470A21"/>
    <w:rsid w:val="00471FA2"/>
    <w:rsid w:val="00472157"/>
    <w:rsid w:val="00472163"/>
    <w:rsid w:val="00474FF8"/>
    <w:rsid w:val="00476D28"/>
    <w:rsid w:val="004774CB"/>
    <w:rsid w:val="004806B3"/>
    <w:rsid w:val="00480BDE"/>
    <w:rsid w:val="0048454D"/>
    <w:rsid w:val="00484695"/>
    <w:rsid w:val="004852E7"/>
    <w:rsid w:val="004855B2"/>
    <w:rsid w:val="004863E6"/>
    <w:rsid w:val="004908B8"/>
    <w:rsid w:val="0049290E"/>
    <w:rsid w:val="00492AE4"/>
    <w:rsid w:val="00495207"/>
    <w:rsid w:val="004960F8"/>
    <w:rsid w:val="0049622E"/>
    <w:rsid w:val="004A00AF"/>
    <w:rsid w:val="004A026E"/>
    <w:rsid w:val="004A11A8"/>
    <w:rsid w:val="004A1DC8"/>
    <w:rsid w:val="004A3DDB"/>
    <w:rsid w:val="004A473D"/>
    <w:rsid w:val="004A47C3"/>
    <w:rsid w:val="004A4E0B"/>
    <w:rsid w:val="004A582B"/>
    <w:rsid w:val="004A5FC0"/>
    <w:rsid w:val="004A6641"/>
    <w:rsid w:val="004B36EC"/>
    <w:rsid w:val="004B3794"/>
    <w:rsid w:val="004B385C"/>
    <w:rsid w:val="004B3928"/>
    <w:rsid w:val="004B3C34"/>
    <w:rsid w:val="004B3DA0"/>
    <w:rsid w:val="004B43B0"/>
    <w:rsid w:val="004B46EE"/>
    <w:rsid w:val="004B4EC7"/>
    <w:rsid w:val="004B75C4"/>
    <w:rsid w:val="004C1E2F"/>
    <w:rsid w:val="004C2123"/>
    <w:rsid w:val="004C2E56"/>
    <w:rsid w:val="004C4605"/>
    <w:rsid w:val="004C5432"/>
    <w:rsid w:val="004C5740"/>
    <w:rsid w:val="004C5873"/>
    <w:rsid w:val="004C5C64"/>
    <w:rsid w:val="004C7795"/>
    <w:rsid w:val="004D1806"/>
    <w:rsid w:val="004D3AAB"/>
    <w:rsid w:val="004D4AFD"/>
    <w:rsid w:val="004D6A9C"/>
    <w:rsid w:val="004E1502"/>
    <w:rsid w:val="004E2344"/>
    <w:rsid w:val="004E2933"/>
    <w:rsid w:val="004E37B0"/>
    <w:rsid w:val="004E3E0C"/>
    <w:rsid w:val="004E4C11"/>
    <w:rsid w:val="004E54CB"/>
    <w:rsid w:val="004E5EBB"/>
    <w:rsid w:val="004F0BF2"/>
    <w:rsid w:val="004F1FA5"/>
    <w:rsid w:val="004F3B00"/>
    <w:rsid w:val="004F51F0"/>
    <w:rsid w:val="004F5275"/>
    <w:rsid w:val="004F56E1"/>
    <w:rsid w:val="004F5ECC"/>
    <w:rsid w:val="004F72FC"/>
    <w:rsid w:val="004F79C4"/>
    <w:rsid w:val="00500621"/>
    <w:rsid w:val="00500A1A"/>
    <w:rsid w:val="00502466"/>
    <w:rsid w:val="00502879"/>
    <w:rsid w:val="00503E01"/>
    <w:rsid w:val="00506C82"/>
    <w:rsid w:val="00506EC8"/>
    <w:rsid w:val="00507EC8"/>
    <w:rsid w:val="00507FED"/>
    <w:rsid w:val="00510143"/>
    <w:rsid w:val="005108DD"/>
    <w:rsid w:val="005109A4"/>
    <w:rsid w:val="0051146A"/>
    <w:rsid w:val="00511F26"/>
    <w:rsid w:val="0051286C"/>
    <w:rsid w:val="00516E46"/>
    <w:rsid w:val="00520B75"/>
    <w:rsid w:val="005214FF"/>
    <w:rsid w:val="00522C69"/>
    <w:rsid w:val="005239EE"/>
    <w:rsid w:val="00524B08"/>
    <w:rsid w:val="00526ADE"/>
    <w:rsid w:val="00530D34"/>
    <w:rsid w:val="00530E1C"/>
    <w:rsid w:val="00530E93"/>
    <w:rsid w:val="0053143B"/>
    <w:rsid w:val="00531BE4"/>
    <w:rsid w:val="00531E32"/>
    <w:rsid w:val="00532343"/>
    <w:rsid w:val="00533078"/>
    <w:rsid w:val="00534EF1"/>
    <w:rsid w:val="0053596F"/>
    <w:rsid w:val="0053617F"/>
    <w:rsid w:val="00536615"/>
    <w:rsid w:val="00537367"/>
    <w:rsid w:val="00541B65"/>
    <w:rsid w:val="005427EF"/>
    <w:rsid w:val="00543778"/>
    <w:rsid w:val="00543AFF"/>
    <w:rsid w:val="00544425"/>
    <w:rsid w:val="0054483C"/>
    <w:rsid w:val="005448F4"/>
    <w:rsid w:val="00544F5A"/>
    <w:rsid w:val="00545C05"/>
    <w:rsid w:val="005463A9"/>
    <w:rsid w:val="00546CFD"/>
    <w:rsid w:val="00547904"/>
    <w:rsid w:val="005550D9"/>
    <w:rsid w:val="00555E73"/>
    <w:rsid w:val="00556779"/>
    <w:rsid w:val="005569FE"/>
    <w:rsid w:val="00556B06"/>
    <w:rsid w:val="00561233"/>
    <w:rsid w:val="005617E6"/>
    <w:rsid w:val="005629F1"/>
    <w:rsid w:val="00563AD9"/>
    <w:rsid w:val="00563E5D"/>
    <w:rsid w:val="00564C32"/>
    <w:rsid w:val="005654B1"/>
    <w:rsid w:val="00567432"/>
    <w:rsid w:val="00567E0D"/>
    <w:rsid w:val="005705AE"/>
    <w:rsid w:val="005707D3"/>
    <w:rsid w:val="00571C5E"/>
    <w:rsid w:val="00572609"/>
    <w:rsid w:val="005727F4"/>
    <w:rsid w:val="00572848"/>
    <w:rsid w:val="00572C43"/>
    <w:rsid w:val="00573ED0"/>
    <w:rsid w:val="0057505E"/>
    <w:rsid w:val="005753F3"/>
    <w:rsid w:val="00577E24"/>
    <w:rsid w:val="0058076E"/>
    <w:rsid w:val="00581AA9"/>
    <w:rsid w:val="00582341"/>
    <w:rsid w:val="00582439"/>
    <w:rsid w:val="00582910"/>
    <w:rsid w:val="00585B34"/>
    <w:rsid w:val="00590A53"/>
    <w:rsid w:val="00591DA2"/>
    <w:rsid w:val="0059290F"/>
    <w:rsid w:val="00593498"/>
    <w:rsid w:val="00593F30"/>
    <w:rsid w:val="00594EFB"/>
    <w:rsid w:val="005964F2"/>
    <w:rsid w:val="005A0D58"/>
    <w:rsid w:val="005A2937"/>
    <w:rsid w:val="005A2F70"/>
    <w:rsid w:val="005A3633"/>
    <w:rsid w:val="005A40CB"/>
    <w:rsid w:val="005A5407"/>
    <w:rsid w:val="005A5421"/>
    <w:rsid w:val="005A5CA2"/>
    <w:rsid w:val="005A6337"/>
    <w:rsid w:val="005A708F"/>
    <w:rsid w:val="005B05EF"/>
    <w:rsid w:val="005B16EC"/>
    <w:rsid w:val="005B2A87"/>
    <w:rsid w:val="005B2CC5"/>
    <w:rsid w:val="005B4A49"/>
    <w:rsid w:val="005B635C"/>
    <w:rsid w:val="005B6CBE"/>
    <w:rsid w:val="005B7359"/>
    <w:rsid w:val="005C0731"/>
    <w:rsid w:val="005C209F"/>
    <w:rsid w:val="005C21FB"/>
    <w:rsid w:val="005C2308"/>
    <w:rsid w:val="005C4704"/>
    <w:rsid w:val="005C6B9B"/>
    <w:rsid w:val="005C765C"/>
    <w:rsid w:val="005C7BC1"/>
    <w:rsid w:val="005C7E0D"/>
    <w:rsid w:val="005D0905"/>
    <w:rsid w:val="005D0AA5"/>
    <w:rsid w:val="005D1A09"/>
    <w:rsid w:val="005D1AD1"/>
    <w:rsid w:val="005D1B51"/>
    <w:rsid w:val="005D4968"/>
    <w:rsid w:val="005D5954"/>
    <w:rsid w:val="005D6326"/>
    <w:rsid w:val="005D6993"/>
    <w:rsid w:val="005D7254"/>
    <w:rsid w:val="005D79DE"/>
    <w:rsid w:val="005E199A"/>
    <w:rsid w:val="005E2183"/>
    <w:rsid w:val="005E21DD"/>
    <w:rsid w:val="005E3D9C"/>
    <w:rsid w:val="005E40E5"/>
    <w:rsid w:val="005E47C6"/>
    <w:rsid w:val="005E7599"/>
    <w:rsid w:val="005F1368"/>
    <w:rsid w:val="005F2F88"/>
    <w:rsid w:val="005F32D9"/>
    <w:rsid w:val="005F3372"/>
    <w:rsid w:val="005F4047"/>
    <w:rsid w:val="005F467A"/>
    <w:rsid w:val="005F4C09"/>
    <w:rsid w:val="005F4C3C"/>
    <w:rsid w:val="005F525B"/>
    <w:rsid w:val="005F542F"/>
    <w:rsid w:val="005F69C2"/>
    <w:rsid w:val="005F6FA1"/>
    <w:rsid w:val="006001A2"/>
    <w:rsid w:val="00600AEC"/>
    <w:rsid w:val="00601643"/>
    <w:rsid w:val="006023F0"/>
    <w:rsid w:val="00606E1F"/>
    <w:rsid w:val="00607323"/>
    <w:rsid w:val="006105A2"/>
    <w:rsid w:val="006106D4"/>
    <w:rsid w:val="006125A4"/>
    <w:rsid w:val="00613146"/>
    <w:rsid w:val="00613A02"/>
    <w:rsid w:val="006150DC"/>
    <w:rsid w:val="0061552D"/>
    <w:rsid w:val="00615CCA"/>
    <w:rsid w:val="00620163"/>
    <w:rsid w:val="006203B0"/>
    <w:rsid w:val="00620F2C"/>
    <w:rsid w:val="00620F70"/>
    <w:rsid w:val="00621177"/>
    <w:rsid w:val="00621474"/>
    <w:rsid w:val="006224E8"/>
    <w:rsid w:val="00622CD1"/>
    <w:rsid w:val="00623AFD"/>
    <w:rsid w:val="00623C5D"/>
    <w:rsid w:val="00626757"/>
    <w:rsid w:val="006274B7"/>
    <w:rsid w:val="00627B7C"/>
    <w:rsid w:val="00631482"/>
    <w:rsid w:val="00631B17"/>
    <w:rsid w:val="00631CF2"/>
    <w:rsid w:val="00633DBC"/>
    <w:rsid w:val="00641498"/>
    <w:rsid w:val="00642FD5"/>
    <w:rsid w:val="00645E89"/>
    <w:rsid w:val="00646540"/>
    <w:rsid w:val="00646E32"/>
    <w:rsid w:val="006516C9"/>
    <w:rsid w:val="00651E78"/>
    <w:rsid w:val="006537A5"/>
    <w:rsid w:val="00653FDF"/>
    <w:rsid w:val="006542D7"/>
    <w:rsid w:val="0065666F"/>
    <w:rsid w:val="00660098"/>
    <w:rsid w:val="0066026E"/>
    <w:rsid w:val="0066055F"/>
    <w:rsid w:val="00660E20"/>
    <w:rsid w:val="00662E27"/>
    <w:rsid w:val="00665E6B"/>
    <w:rsid w:val="00666EDB"/>
    <w:rsid w:val="0067076F"/>
    <w:rsid w:val="00672D96"/>
    <w:rsid w:val="00673207"/>
    <w:rsid w:val="00673C65"/>
    <w:rsid w:val="00674047"/>
    <w:rsid w:val="006740EF"/>
    <w:rsid w:val="00674F51"/>
    <w:rsid w:val="00675462"/>
    <w:rsid w:val="00677C8D"/>
    <w:rsid w:val="00680FBA"/>
    <w:rsid w:val="00681CBD"/>
    <w:rsid w:val="00682833"/>
    <w:rsid w:val="00683489"/>
    <w:rsid w:val="00684426"/>
    <w:rsid w:val="00685D33"/>
    <w:rsid w:val="00686B09"/>
    <w:rsid w:val="006874D3"/>
    <w:rsid w:val="00690FAF"/>
    <w:rsid w:val="006917DC"/>
    <w:rsid w:val="00692294"/>
    <w:rsid w:val="00692493"/>
    <w:rsid w:val="006955A0"/>
    <w:rsid w:val="00695661"/>
    <w:rsid w:val="00695D49"/>
    <w:rsid w:val="0069677B"/>
    <w:rsid w:val="00696E0A"/>
    <w:rsid w:val="00697578"/>
    <w:rsid w:val="006A120E"/>
    <w:rsid w:val="006A22C3"/>
    <w:rsid w:val="006A2301"/>
    <w:rsid w:val="006A33EE"/>
    <w:rsid w:val="006A4570"/>
    <w:rsid w:val="006A4D31"/>
    <w:rsid w:val="006A55AE"/>
    <w:rsid w:val="006A56A9"/>
    <w:rsid w:val="006A6A59"/>
    <w:rsid w:val="006A7873"/>
    <w:rsid w:val="006A7973"/>
    <w:rsid w:val="006B0EEC"/>
    <w:rsid w:val="006B10D3"/>
    <w:rsid w:val="006B1D43"/>
    <w:rsid w:val="006B2B50"/>
    <w:rsid w:val="006B49B3"/>
    <w:rsid w:val="006B6DCA"/>
    <w:rsid w:val="006B6EA9"/>
    <w:rsid w:val="006B72E7"/>
    <w:rsid w:val="006B74B5"/>
    <w:rsid w:val="006B7F36"/>
    <w:rsid w:val="006C2A6F"/>
    <w:rsid w:val="006C2EE4"/>
    <w:rsid w:val="006C324A"/>
    <w:rsid w:val="006C3AB5"/>
    <w:rsid w:val="006C4054"/>
    <w:rsid w:val="006C46BA"/>
    <w:rsid w:val="006C4D04"/>
    <w:rsid w:val="006C546E"/>
    <w:rsid w:val="006C5FA1"/>
    <w:rsid w:val="006C727A"/>
    <w:rsid w:val="006C72FB"/>
    <w:rsid w:val="006D0627"/>
    <w:rsid w:val="006D11A8"/>
    <w:rsid w:val="006D22BC"/>
    <w:rsid w:val="006D4681"/>
    <w:rsid w:val="006D47B5"/>
    <w:rsid w:val="006D6CAE"/>
    <w:rsid w:val="006E0C2E"/>
    <w:rsid w:val="006E1145"/>
    <w:rsid w:val="006E1A33"/>
    <w:rsid w:val="006E2ADD"/>
    <w:rsid w:val="006E2BC1"/>
    <w:rsid w:val="006E2CC8"/>
    <w:rsid w:val="006E2FA6"/>
    <w:rsid w:val="006E6340"/>
    <w:rsid w:val="006F1437"/>
    <w:rsid w:val="006F17C9"/>
    <w:rsid w:val="006F1B39"/>
    <w:rsid w:val="006F32AB"/>
    <w:rsid w:val="006F4A89"/>
    <w:rsid w:val="006F56F4"/>
    <w:rsid w:val="006F5D61"/>
    <w:rsid w:val="006F5E86"/>
    <w:rsid w:val="006F636F"/>
    <w:rsid w:val="006F65C1"/>
    <w:rsid w:val="006F6C81"/>
    <w:rsid w:val="007003AD"/>
    <w:rsid w:val="007005A2"/>
    <w:rsid w:val="00701D78"/>
    <w:rsid w:val="00703907"/>
    <w:rsid w:val="00705445"/>
    <w:rsid w:val="0070603F"/>
    <w:rsid w:val="00706B2D"/>
    <w:rsid w:val="00712E13"/>
    <w:rsid w:val="007140D8"/>
    <w:rsid w:val="007143AC"/>
    <w:rsid w:val="00715207"/>
    <w:rsid w:val="007165C0"/>
    <w:rsid w:val="00721B05"/>
    <w:rsid w:val="00724B89"/>
    <w:rsid w:val="00725310"/>
    <w:rsid w:val="0072578C"/>
    <w:rsid w:val="00725936"/>
    <w:rsid w:val="00727A36"/>
    <w:rsid w:val="00730759"/>
    <w:rsid w:val="007308A3"/>
    <w:rsid w:val="00730F43"/>
    <w:rsid w:val="00731177"/>
    <w:rsid w:val="00731A64"/>
    <w:rsid w:val="0073243E"/>
    <w:rsid w:val="00732DCD"/>
    <w:rsid w:val="0073457B"/>
    <w:rsid w:val="00734BA5"/>
    <w:rsid w:val="007352EE"/>
    <w:rsid w:val="00736ECE"/>
    <w:rsid w:val="007370DA"/>
    <w:rsid w:val="00737ABC"/>
    <w:rsid w:val="00743690"/>
    <w:rsid w:val="007444B4"/>
    <w:rsid w:val="007445F6"/>
    <w:rsid w:val="00744A12"/>
    <w:rsid w:val="00744E9C"/>
    <w:rsid w:val="00745AEB"/>
    <w:rsid w:val="0074674B"/>
    <w:rsid w:val="0074731C"/>
    <w:rsid w:val="00747C83"/>
    <w:rsid w:val="0075040A"/>
    <w:rsid w:val="00751893"/>
    <w:rsid w:val="007522A1"/>
    <w:rsid w:val="00752AD5"/>
    <w:rsid w:val="007532F2"/>
    <w:rsid w:val="0075514C"/>
    <w:rsid w:val="007560CE"/>
    <w:rsid w:val="007569EE"/>
    <w:rsid w:val="0076175E"/>
    <w:rsid w:val="00761B3E"/>
    <w:rsid w:val="00761D52"/>
    <w:rsid w:val="00761E49"/>
    <w:rsid w:val="00761FEC"/>
    <w:rsid w:val="00762057"/>
    <w:rsid w:val="00762D71"/>
    <w:rsid w:val="00763933"/>
    <w:rsid w:val="00763B18"/>
    <w:rsid w:val="00763D48"/>
    <w:rsid w:val="00764377"/>
    <w:rsid w:val="00764DC0"/>
    <w:rsid w:val="0076598B"/>
    <w:rsid w:val="00767430"/>
    <w:rsid w:val="007674D3"/>
    <w:rsid w:val="00773B35"/>
    <w:rsid w:val="00776DD6"/>
    <w:rsid w:val="00777CFC"/>
    <w:rsid w:val="00780726"/>
    <w:rsid w:val="00780764"/>
    <w:rsid w:val="007819A1"/>
    <w:rsid w:val="00781C9C"/>
    <w:rsid w:val="007836B6"/>
    <w:rsid w:val="007836E1"/>
    <w:rsid w:val="00785901"/>
    <w:rsid w:val="00785FF0"/>
    <w:rsid w:val="00786473"/>
    <w:rsid w:val="00786D26"/>
    <w:rsid w:val="00786DA5"/>
    <w:rsid w:val="007872E3"/>
    <w:rsid w:val="00791369"/>
    <w:rsid w:val="00792050"/>
    <w:rsid w:val="007925C7"/>
    <w:rsid w:val="00796157"/>
    <w:rsid w:val="00797333"/>
    <w:rsid w:val="007A11E1"/>
    <w:rsid w:val="007A1B2D"/>
    <w:rsid w:val="007A2C2E"/>
    <w:rsid w:val="007A3BA8"/>
    <w:rsid w:val="007A4BBF"/>
    <w:rsid w:val="007B0E6B"/>
    <w:rsid w:val="007B113E"/>
    <w:rsid w:val="007B137C"/>
    <w:rsid w:val="007B1D19"/>
    <w:rsid w:val="007B53CE"/>
    <w:rsid w:val="007B6149"/>
    <w:rsid w:val="007B63CD"/>
    <w:rsid w:val="007B6AEB"/>
    <w:rsid w:val="007B6C56"/>
    <w:rsid w:val="007C1CA9"/>
    <w:rsid w:val="007C21F8"/>
    <w:rsid w:val="007C3E2C"/>
    <w:rsid w:val="007C55D5"/>
    <w:rsid w:val="007C6A5B"/>
    <w:rsid w:val="007C7B0B"/>
    <w:rsid w:val="007D0AF1"/>
    <w:rsid w:val="007D0C08"/>
    <w:rsid w:val="007D2132"/>
    <w:rsid w:val="007D37A4"/>
    <w:rsid w:val="007D546A"/>
    <w:rsid w:val="007D606D"/>
    <w:rsid w:val="007D68EA"/>
    <w:rsid w:val="007D6E5F"/>
    <w:rsid w:val="007D7BD7"/>
    <w:rsid w:val="007E0530"/>
    <w:rsid w:val="007E188F"/>
    <w:rsid w:val="007E21D4"/>
    <w:rsid w:val="007E2741"/>
    <w:rsid w:val="007E4195"/>
    <w:rsid w:val="007E4637"/>
    <w:rsid w:val="007E6769"/>
    <w:rsid w:val="007E75F3"/>
    <w:rsid w:val="007E78A4"/>
    <w:rsid w:val="007F048E"/>
    <w:rsid w:val="007F07BC"/>
    <w:rsid w:val="007F1820"/>
    <w:rsid w:val="007F34BA"/>
    <w:rsid w:val="007F38C2"/>
    <w:rsid w:val="007F3DB4"/>
    <w:rsid w:val="007F4DD2"/>
    <w:rsid w:val="007F541D"/>
    <w:rsid w:val="007F7E35"/>
    <w:rsid w:val="00800A18"/>
    <w:rsid w:val="00801A45"/>
    <w:rsid w:val="00801CC1"/>
    <w:rsid w:val="00802AAB"/>
    <w:rsid w:val="008044AE"/>
    <w:rsid w:val="00805E6B"/>
    <w:rsid w:val="008071EE"/>
    <w:rsid w:val="00807E63"/>
    <w:rsid w:val="00807E65"/>
    <w:rsid w:val="0081140E"/>
    <w:rsid w:val="00814C81"/>
    <w:rsid w:val="00815BCF"/>
    <w:rsid w:val="008165D9"/>
    <w:rsid w:val="00821E0D"/>
    <w:rsid w:val="0082301F"/>
    <w:rsid w:val="0083270D"/>
    <w:rsid w:val="008338C4"/>
    <w:rsid w:val="0083464D"/>
    <w:rsid w:val="008352E9"/>
    <w:rsid w:val="008359C0"/>
    <w:rsid w:val="00840268"/>
    <w:rsid w:val="00841EEF"/>
    <w:rsid w:val="0084222B"/>
    <w:rsid w:val="0084239B"/>
    <w:rsid w:val="00842C13"/>
    <w:rsid w:val="008435B5"/>
    <w:rsid w:val="00843850"/>
    <w:rsid w:val="0084598D"/>
    <w:rsid w:val="0084643F"/>
    <w:rsid w:val="00847DD7"/>
    <w:rsid w:val="00851249"/>
    <w:rsid w:val="00851B9C"/>
    <w:rsid w:val="00852A4C"/>
    <w:rsid w:val="00854674"/>
    <w:rsid w:val="00854929"/>
    <w:rsid w:val="00860000"/>
    <w:rsid w:val="008600A6"/>
    <w:rsid w:val="008601CB"/>
    <w:rsid w:val="00862ED2"/>
    <w:rsid w:val="00862F1E"/>
    <w:rsid w:val="00863167"/>
    <w:rsid w:val="0086349E"/>
    <w:rsid w:val="00864462"/>
    <w:rsid w:val="00866230"/>
    <w:rsid w:val="0086735C"/>
    <w:rsid w:val="00870180"/>
    <w:rsid w:val="0087139C"/>
    <w:rsid w:val="0087364B"/>
    <w:rsid w:val="00873917"/>
    <w:rsid w:val="00874383"/>
    <w:rsid w:val="0087450C"/>
    <w:rsid w:val="008754C8"/>
    <w:rsid w:val="0087648B"/>
    <w:rsid w:val="0087704E"/>
    <w:rsid w:val="00880299"/>
    <w:rsid w:val="008802AA"/>
    <w:rsid w:val="00880BBE"/>
    <w:rsid w:val="0088128B"/>
    <w:rsid w:val="00882206"/>
    <w:rsid w:val="00882A15"/>
    <w:rsid w:val="008833DD"/>
    <w:rsid w:val="0088351A"/>
    <w:rsid w:val="008840E2"/>
    <w:rsid w:val="00884CF9"/>
    <w:rsid w:val="00884FFB"/>
    <w:rsid w:val="0088797C"/>
    <w:rsid w:val="00887E85"/>
    <w:rsid w:val="00890EE7"/>
    <w:rsid w:val="0089124D"/>
    <w:rsid w:val="00891608"/>
    <w:rsid w:val="008920E8"/>
    <w:rsid w:val="00893B02"/>
    <w:rsid w:val="008943CF"/>
    <w:rsid w:val="00894DEE"/>
    <w:rsid w:val="00894F3D"/>
    <w:rsid w:val="008954BA"/>
    <w:rsid w:val="00895768"/>
    <w:rsid w:val="008A1D3D"/>
    <w:rsid w:val="008A2D98"/>
    <w:rsid w:val="008A7505"/>
    <w:rsid w:val="008B0145"/>
    <w:rsid w:val="008B0885"/>
    <w:rsid w:val="008B09DB"/>
    <w:rsid w:val="008B0E75"/>
    <w:rsid w:val="008B1051"/>
    <w:rsid w:val="008B156C"/>
    <w:rsid w:val="008B23A8"/>
    <w:rsid w:val="008B2AA4"/>
    <w:rsid w:val="008B45BD"/>
    <w:rsid w:val="008B51DC"/>
    <w:rsid w:val="008C0A79"/>
    <w:rsid w:val="008C38DA"/>
    <w:rsid w:val="008C39ED"/>
    <w:rsid w:val="008C3C4A"/>
    <w:rsid w:val="008C3CB3"/>
    <w:rsid w:val="008C50D0"/>
    <w:rsid w:val="008C630C"/>
    <w:rsid w:val="008C6750"/>
    <w:rsid w:val="008C6886"/>
    <w:rsid w:val="008C6C46"/>
    <w:rsid w:val="008D165B"/>
    <w:rsid w:val="008D1D8C"/>
    <w:rsid w:val="008D32B1"/>
    <w:rsid w:val="008D5777"/>
    <w:rsid w:val="008D5D90"/>
    <w:rsid w:val="008D62A1"/>
    <w:rsid w:val="008D6E17"/>
    <w:rsid w:val="008D72D4"/>
    <w:rsid w:val="008E03B5"/>
    <w:rsid w:val="008E3023"/>
    <w:rsid w:val="008E33CA"/>
    <w:rsid w:val="008E4176"/>
    <w:rsid w:val="008E6BDE"/>
    <w:rsid w:val="008E7664"/>
    <w:rsid w:val="008E7987"/>
    <w:rsid w:val="008F202E"/>
    <w:rsid w:val="008F2CD8"/>
    <w:rsid w:val="008F2E80"/>
    <w:rsid w:val="008F3DD2"/>
    <w:rsid w:val="008F5879"/>
    <w:rsid w:val="008F6026"/>
    <w:rsid w:val="008F6B69"/>
    <w:rsid w:val="008F7301"/>
    <w:rsid w:val="008F7C0E"/>
    <w:rsid w:val="009033B2"/>
    <w:rsid w:val="00905073"/>
    <w:rsid w:val="0090533E"/>
    <w:rsid w:val="00905A18"/>
    <w:rsid w:val="009070AF"/>
    <w:rsid w:val="0090790A"/>
    <w:rsid w:val="00910C5C"/>
    <w:rsid w:val="00910CA8"/>
    <w:rsid w:val="009111A8"/>
    <w:rsid w:val="00911F34"/>
    <w:rsid w:val="009125DE"/>
    <w:rsid w:val="00913701"/>
    <w:rsid w:val="009146AE"/>
    <w:rsid w:val="00915927"/>
    <w:rsid w:val="00915F05"/>
    <w:rsid w:val="00916F37"/>
    <w:rsid w:val="0091708F"/>
    <w:rsid w:val="009203C4"/>
    <w:rsid w:val="00920E2E"/>
    <w:rsid w:val="00922564"/>
    <w:rsid w:val="00922BA6"/>
    <w:rsid w:val="0092339A"/>
    <w:rsid w:val="009234B6"/>
    <w:rsid w:val="009237D2"/>
    <w:rsid w:val="009244FC"/>
    <w:rsid w:val="00924C89"/>
    <w:rsid w:val="00924DF9"/>
    <w:rsid w:val="009259CB"/>
    <w:rsid w:val="009267D6"/>
    <w:rsid w:val="00926EEE"/>
    <w:rsid w:val="00932DAA"/>
    <w:rsid w:val="00934B42"/>
    <w:rsid w:val="009353B5"/>
    <w:rsid w:val="0093620D"/>
    <w:rsid w:val="009372FD"/>
    <w:rsid w:val="0094234F"/>
    <w:rsid w:val="0094417B"/>
    <w:rsid w:val="009461CE"/>
    <w:rsid w:val="00946C63"/>
    <w:rsid w:val="00951665"/>
    <w:rsid w:val="00951B14"/>
    <w:rsid w:val="00955361"/>
    <w:rsid w:val="00957043"/>
    <w:rsid w:val="00957AD1"/>
    <w:rsid w:val="00960FD7"/>
    <w:rsid w:val="00961530"/>
    <w:rsid w:val="00961D56"/>
    <w:rsid w:val="00961D78"/>
    <w:rsid w:val="00961F5F"/>
    <w:rsid w:val="009622A3"/>
    <w:rsid w:val="00963A6E"/>
    <w:rsid w:val="00964160"/>
    <w:rsid w:val="009642CF"/>
    <w:rsid w:val="00966DCC"/>
    <w:rsid w:val="00966E04"/>
    <w:rsid w:val="00970097"/>
    <w:rsid w:val="00970D60"/>
    <w:rsid w:val="00972253"/>
    <w:rsid w:val="00972B38"/>
    <w:rsid w:val="00972EDE"/>
    <w:rsid w:val="00972FED"/>
    <w:rsid w:val="00973233"/>
    <w:rsid w:val="00973593"/>
    <w:rsid w:val="00973901"/>
    <w:rsid w:val="009749F1"/>
    <w:rsid w:val="009754DF"/>
    <w:rsid w:val="00977937"/>
    <w:rsid w:val="009802F2"/>
    <w:rsid w:val="0098053A"/>
    <w:rsid w:val="00981BB4"/>
    <w:rsid w:val="00981D8B"/>
    <w:rsid w:val="00982F7A"/>
    <w:rsid w:val="00983302"/>
    <w:rsid w:val="00984674"/>
    <w:rsid w:val="009847EC"/>
    <w:rsid w:val="0098487F"/>
    <w:rsid w:val="00985E8C"/>
    <w:rsid w:val="009868BE"/>
    <w:rsid w:val="00986ABC"/>
    <w:rsid w:val="00987442"/>
    <w:rsid w:val="00997FA5"/>
    <w:rsid w:val="00997FB1"/>
    <w:rsid w:val="009A2C56"/>
    <w:rsid w:val="009A5169"/>
    <w:rsid w:val="009A5FF3"/>
    <w:rsid w:val="009A6B9A"/>
    <w:rsid w:val="009B0251"/>
    <w:rsid w:val="009B0F15"/>
    <w:rsid w:val="009B1249"/>
    <w:rsid w:val="009B166C"/>
    <w:rsid w:val="009B1AF6"/>
    <w:rsid w:val="009B1DD2"/>
    <w:rsid w:val="009B2610"/>
    <w:rsid w:val="009B5EB5"/>
    <w:rsid w:val="009C04F1"/>
    <w:rsid w:val="009C2659"/>
    <w:rsid w:val="009C356C"/>
    <w:rsid w:val="009C3CEB"/>
    <w:rsid w:val="009C432E"/>
    <w:rsid w:val="009C4367"/>
    <w:rsid w:val="009C4CB3"/>
    <w:rsid w:val="009C4CDD"/>
    <w:rsid w:val="009C589E"/>
    <w:rsid w:val="009C5F0A"/>
    <w:rsid w:val="009C7CB8"/>
    <w:rsid w:val="009D0F70"/>
    <w:rsid w:val="009D0FF8"/>
    <w:rsid w:val="009D15DE"/>
    <w:rsid w:val="009D17AA"/>
    <w:rsid w:val="009D1B2F"/>
    <w:rsid w:val="009D259B"/>
    <w:rsid w:val="009D2655"/>
    <w:rsid w:val="009D30FC"/>
    <w:rsid w:val="009D4121"/>
    <w:rsid w:val="009D5089"/>
    <w:rsid w:val="009D68A5"/>
    <w:rsid w:val="009E08F3"/>
    <w:rsid w:val="009E0B83"/>
    <w:rsid w:val="009E1519"/>
    <w:rsid w:val="009E275E"/>
    <w:rsid w:val="009E2F1C"/>
    <w:rsid w:val="009E33C6"/>
    <w:rsid w:val="009E451B"/>
    <w:rsid w:val="009E49E2"/>
    <w:rsid w:val="009E4F03"/>
    <w:rsid w:val="009E5DBC"/>
    <w:rsid w:val="009F0A9E"/>
    <w:rsid w:val="009F0AD4"/>
    <w:rsid w:val="009F0CF8"/>
    <w:rsid w:val="009F11A7"/>
    <w:rsid w:val="009F245D"/>
    <w:rsid w:val="009F2909"/>
    <w:rsid w:val="009F2C27"/>
    <w:rsid w:val="009F37DF"/>
    <w:rsid w:val="00A002BE"/>
    <w:rsid w:val="00A058D8"/>
    <w:rsid w:val="00A05B75"/>
    <w:rsid w:val="00A065D5"/>
    <w:rsid w:val="00A100A6"/>
    <w:rsid w:val="00A1025A"/>
    <w:rsid w:val="00A1074F"/>
    <w:rsid w:val="00A108CF"/>
    <w:rsid w:val="00A13FDC"/>
    <w:rsid w:val="00A14BD1"/>
    <w:rsid w:val="00A15C7D"/>
    <w:rsid w:val="00A15EE2"/>
    <w:rsid w:val="00A1655A"/>
    <w:rsid w:val="00A16C27"/>
    <w:rsid w:val="00A20BC8"/>
    <w:rsid w:val="00A20F94"/>
    <w:rsid w:val="00A2161A"/>
    <w:rsid w:val="00A23500"/>
    <w:rsid w:val="00A25A63"/>
    <w:rsid w:val="00A270B5"/>
    <w:rsid w:val="00A27311"/>
    <w:rsid w:val="00A27411"/>
    <w:rsid w:val="00A30920"/>
    <w:rsid w:val="00A31123"/>
    <w:rsid w:val="00A32D89"/>
    <w:rsid w:val="00A35433"/>
    <w:rsid w:val="00A3720E"/>
    <w:rsid w:val="00A372E1"/>
    <w:rsid w:val="00A37C78"/>
    <w:rsid w:val="00A45BB8"/>
    <w:rsid w:val="00A4640A"/>
    <w:rsid w:val="00A46AF2"/>
    <w:rsid w:val="00A46D1F"/>
    <w:rsid w:val="00A46F44"/>
    <w:rsid w:val="00A51738"/>
    <w:rsid w:val="00A519A7"/>
    <w:rsid w:val="00A526BE"/>
    <w:rsid w:val="00A538A8"/>
    <w:rsid w:val="00A54C7D"/>
    <w:rsid w:val="00A54EFB"/>
    <w:rsid w:val="00A5537B"/>
    <w:rsid w:val="00A554A7"/>
    <w:rsid w:val="00A578C7"/>
    <w:rsid w:val="00A57A9D"/>
    <w:rsid w:val="00A604A9"/>
    <w:rsid w:val="00A626E6"/>
    <w:rsid w:val="00A63271"/>
    <w:rsid w:val="00A63807"/>
    <w:rsid w:val="00A63A25"/>
    <w:rsid w:val="00A649DE"/>
    <w:rsid w:val="00A6585C"/>
    <w:rsid w:val="00A66D3D"/>
    <w:rsid w:val="00A66F2C"/>
    <w:rsid w:val="00A6764B"/>
    <w:rsid w:val="00A705FD"/>
    <w:rsid w:val="00A72C4D"/>
    <w:rsid w:val="00A7314D"/>
    <w:rsid w:val="00A74E33"/>
    <w:rsid w:val="00A757E6"/>
    <w:rsid w:val="00A75C11"/>
    <w:rsid w:val="00A83BC6"/>
    <w:rsid w:val="00A83E34"/>
    <w:rsid w:val="00A841D5"/>
    <w:rsid w:val="00A84E11"/>
    <w:rsid w:val="00A85D31"/>
    <w:rsid w:val="00A864DE"/>
    <w:rsid w:val="00A86DC5"/>
    <w:rsid w:val="00A912B4"/>
    <w:rsid w:val="00A9226E"/>
    <w:rsid w:val="00A9381D"/>
    <w:rsid w:val="00A9590A"/>
    <w:rsid w:val="00A95A72"/>
    <w:rsid w:val="00A97C67"/>
    <w:rsid w:val="00AA0236"/>
    <w:rsid w:val="00AA0AFF"/>
    <w:rsid w:val="00AA0CA6"/>
    <w:rsid w:val="00AA10BC"/>
    <w:rsid w:val="00AA19B1"/>
    <w:rsid w:val="00AA2C11"/>
    <w:rsid w:val="00AA5C72"/>
    <w:rsid w:val="00AA62FD"/>
    <w:rsid w:val="00AA6637"/>
    <w:rsid w:val="00AB0F0C"/>
    <w:rsid w:val="00AB678E"/>
    <w:rsid w:val="00AC0029"/>
    <w:rsid w:val="00AC193B"/>
    <w:rsid w:val="00AC1F7B"/>
    <w:rsid w:val="00AC32CC"/>
    <w:rsid w:val="00AC3778"/>
    <w:rsid w:val="00AC401E"/>
    <w:rsid w:val="00AC555A"/>
    <w:rsid w:val="00AC57E3"/>
    <w:rsid w:val="00AC5A42"/>
    <w:rsid w:val="00AC7202"/>
    <w:rsid w:val="00AD1329"/>
    <w:rsid w:val="00AD1D6F"/>
    <w:rsid w:val="00AD3718"/>
    <w:rsid w:val="00AD484B"/>
    <w:rsid w:val="00AD5B7B"/>
    <w:rsid w:val="00AD607C"/>
    <w:rsid w:val="00AD6862"/>
    <w:rsid w:val="00AD6E72"/>
    <w:rsid w:val="00AD7897"/>
    <w:rsid w:val="00AE0A42"/>
    <w:rsid w:val="00AE1174"/>
    <w:rsid w:val="00AE1C40"/>
    <w:rsid w:val="00AE3115"/>
    <w:rsid w:val="00AE6177"/>
    <w:rsid w:val="00AE781B"/>
    <w:rsid w:val="00AF078A"/>
    <w:rsid w:val="00AF1D4A"/>
    <w:rsid w:val="00AF3064"/>
    <w:rsid w:val="00AF32B1"/>
    <w:rsid w:val="00AF34DB"/>
    <w:rsid w:val="00AF3662"/>
    <w:rsid w:val="00AF3778"/>
    <w:rsid w:val="00AF3B73"/>
    <w:rsid w:val="00AF4193"/>
    <w:rsid w:val="00AF7350"/>
    <w:rsid w:val="00AF7CEF"/>
    <w:rsid w:val="00B001B9"/>
    <w:rsid w:val="00B01987"/>
    <w:rsid w:val="00B029C6"/>
    <w:rsid w:val="00B02AC6"/>
    <w:rsid w:val="00B035EB"/>
    <w:rsid w:val="00B05202"/>
    <w:rsid w:val="00B06BE6"/>
    <w:rsid w:val="00B0782C"/>
    <w:rsid w:val="00B07E8F"/>
    <w:rsid w:val="00B07EA5"/>
    <w:rsid w:val="00B14AE5"/>
    <w:rsid w:val="00B14D5F"/>
    <w:rsid w:val="00B159A2"/>
    <w:rsid w:val="00B169A5"/>
    <w:rsid w:val="00B17898"/>
    <w:rsid w:val="00B17D86"/>
    <w:rsid w:val="00B20B6C"/>
    <w:rsid w:val="00B20D09"/>
    <w:rsid w:val="00B2136C"/>
    <w:rsid w:val="00B218B6"/>
    <w:rsid w:val="00B21B78"/>
    <w:rsid w:val="00B24E54"/>
    <w:rsid w:val="00B257E2"/>
    <w:rsid w:val="00B25BA3"/>
    <w:rsid w:val="00B26E7C"/>
    <w:rsid w:val="00B276CA"/>
    <w:rsid w:val="00B3019D"/>
    <w:rsid w:val="00B30FC2"/>
    <w:rsid w:val="00B3165F"/>
    <w:rsid w:val="00B3305C"/>
    <w:rsid w:val="00B350EB"/>
    <w:rsid w:val="00B35510"/>
    <w:rsid w:val="00B379CC"/>
    <w:rsid w:val="00B402D9"/>
    <w:rsid w:val="00B4070D"/>
    <w:rsid w:val="00B42108"/>
    <w:rsid w:val="00B4237B"/>
    <w:rsid w:val="00B43B6F"/>
    <w:rsid w:val="00B44588"/>
    <w:rsid w:val="00B44658"/>
    <w:rsid w:val="00B44FFB"/>
    <w:rsid w:val="00B45C8B"/>
    <w:rsid w:val="00B508D3"/>
    <w:rsid w:val="00B539CF"/>
    <w:rsid w:val="00B550F7"/>
    <w:rsid w:val="00B55605"/>
    <w:rsid w:val="00B5622B"/>
    <w:rsid w:val="00B56544"/>
    <w:rsid w:val="00B56BCD"/>
    <w:rsid w:val="00B5721E"/>
    <w:rsid w:val="00B57450"/>
    <w:rsid w:val="00B57D08"/>
    <w:rsid w:val="00B61F8F"/>
    <w:rsid w:val="00B64D33"/>
    <w:rsid w:val="00B64E5C"/>
    <w:rsid w:val="00B65614"/>
    <w:rsid w:val="00B65945"/>
    <w:rsid w:val="00B70DBB"/>
    <w:rsid w:val="00B71CFF"/>
    <w:rsid w:val="00B71D09"/>
    <w:rsid w:val="00B72904"/>
    <w:rsid w:val="00B72B83"/>
    <w:rsid w:val="00B72E8C"/>
    <w:rsid w:val="00B835BC"/>
    <w:rsid w:val="00B84242"/>
    <w:rsid w:val="00B84856"/>
    <w:rsid w:val="00B85952"/>
    <w:rsid w:val="00B85A7D"/>
    <w:rsid w:val="00B85DFB"/>
    <w:rsid w:val="00B86174"/>
    <w:rsid w:val="00B87852"/>
    <w:rsid w:val="00B87EFE"/>
    <w:rsid w:val="00B913B3"/>
    <w:rsid w:val="00B92105"/>
    <w:rsid w:val="00B940D3"/>
    <w:rsid w:val="00B94C81"/>
    <w:rsid w:val="00B95EE4"/>
    <w:rsid w:val="00B9679A"/>
    <w:rsid w:val="00B971F8"/>
    <w:rsid w:val="00B97B38"/>
    <w:rsid w:val="00BA48AE"/>
    <w:rsid w:val="00BA6E7D"/>
    <w:rsid w:val="00BB2E1B"/>
    <w:rsid w:val="00BB33C8"/>
    <w:rsid w:val="00BB3F0A"/>
    <w:rsid w:val="00BB4C11"/>
    <w:rsid w:val="00BB4F14"/>
    <w:rsid w:val="00BB6D2B"/>
    <w:rsid w:val="00BB74BE"/>
    <w:rsid w:val="00BB7567"/>
    <w:rsid w:val="00BB766E"/>
    <w:rsid w:val="00BC03F2"/>
    <w:rsid w:val="00BC1EE1"/>
    <w:rsid w:val="00BC2275"/>
    <w:rsid w:val="00BC297B"/>
    <w:rsid w:val="00BC5605"/>
    <w:rsid w:val="00BC57C1"/>
    <w:rsid w:val="00BC5CC5"/>
    <w:rsid w:val="00BC6FBD"/>
    <w:rsid w:val="00BC7F1A"/>
    <w:rsid w:val="00BD1565"/>
    <w:rsid w:val="00BD1B76"/>
    <w:rsid w:val="00BD481E"/>
    <w:rsid w:val="00BD4C66"/>
    <w:rsid w:val="00BD4E9E"/>
    <w:rsid w:val="00BD58D0"/>
    <w:rsid w:val="00BD5907"/>
    <w:rsid w:val="00BD73FE"/>
    <w:rsid w:val="00BD7568"/>
    <w:rsid w:val="00BE17DE"/>
    <w:rsid w:val="00BE18B6"/>
    <w:rsid w:val="00BE20F8"/>
    <w:rsid w:val="00BE210E"/>
    <w:rsid w:val="00BE2ADE"/>
    <w:rsid w:val="00BE3E2A"/>
    <w:rsid w:val="00BE49AB"/>
    <w:rsid w:val="00BE563E"/>
    <w:rsid w:val="00BE5BC3"/>
    <w:rsid w:val="00BE5E8A"/>
    <w:rsid w:val="00BE65A3"/>
    <w:rsid w:val="00BF1824"/>
    <w:rsid w:val="00BF3859"/>
    <w:rsid w:val="00BF4ECB"/>
    <w:rsid w:val="00BF5144"/>
    <w:rsid w:val="00BF59BC"/>
    <w:rsid w:val="00BF6945"/>
    <w:rsid w:val="00BF6D21"/>
    <w:rsid w:val="00BF7A0A"/>
    <w:rsid w:val="00C0034C"/>
    <w:rsid w:val="00C0049A"/>
    <w:rsid w:val="00C02078"/>
    <w:rsid w:val="00C037E0"/>
    <w:rsid w:val="00C050D6"/>
    <w:rsid w:val="00C05530"/>
    <w:rsid w:val="00C057F4"/>
    <w:rsid w:val="00C077E0"/>
    <w:rsid w:val="00C10955"/>
    <w:rsid w:val="00C143C6"/>
    <w:rsid w:val="00C155EB"/>
    <w:rsid w:val="00C1599F"/>
    <w:rsid w:val="00C15C33"/>
    <w:rsid w:val="00C15D9A"/>
    <w:rsid w:val="00C16371"/>
    <w:rsid w:val="00C20AA3"/>
    <w:rsid w:val="00C22B72"/>
    <w:rsid w:val="00C22F94"/>
    <w:rsid w:val="00C25DCC"/>
    <w:rsid w:val="00C26070"/>
    <w:rsid w:val="00C27959"/>
    <w:rsid w:val="00C30421"/>
    <w:rsid w:val="00C30FCE"/>
    <w:rsid w:val="00C3131D"/>
    <w:rsid w:val="00C31559"/>
    <w:rsid w:val="00C31D56"/>
    <w:rsid w:val="00C32607"/>
    <w:rsid w:val="00C33581"/>
    <w:rsid w:val="00C34B07"/>
    <w:rsid w:val="00C34E50"/>
    <w:rsid w:val="00C35F63"/>
    <w:rsid w:val="00C371F7"/>
    <w:rsid w:val="00C379DD"/>
    <w:rsid w:val="00C40376"/>
    <w:rsid w:val="00C40CEC"/>
    <w:rsid w:val="00C42A88"/>
    <w:rsid w:val="00C42D71"/>
    <w:rsid w:val="00C43688"/>
    <w:rsid w:val="00C4468C"/>
    <w:rsid w:val="00C44A74"/>
    <w:rsid w:val="00C46324"/>
    <w:rsid w:val="00C4678F"/>
    <w:rsid w:val="00C47228"/>
    <w:rsid w:val="00C506A0"/>
    <w:rsid w:val="00C51C15"/>
    <w:rsid w:val="00C51DE8"/>
    <w:rsid w:val="00C51E1A"/>
    <w:rsid w:val="00C52578"/>
    <w:rsid w:val="00C52DF7"/>
    <w:rsid w:val="00C55A0A"/>
    <w:rsid w:val="00C55D08"/>
    <w:rsid w:val="00C57099"/>
    <w:rsid w:val="00C63B70"/>
    <w:rsid w:val="00C640EC"/>
    <w:rsid w:val="00C65A57"/>
    <w:rsid w:val="00C6648D"/>
    <w:rsid w:val="00C67040"/>
    <w:rsid w:val="00C6773C"/>
    <w:rsid w:val="00C700B3"/>
    <w:rsid w:val="00C70282"/>
    <w:rsid w:val="00C714E8"/>
    <w:rsid w:val="00C71754"/>
    <w:rsid w:val="00C7240C"/>
    <w:rsid w:val="00C72867"/>
    <w:rsid w:val="00C72C8B"/>
    <w:rsid w:val="00C74DD7"/>
    <w:rsid w:val="00C757D8"/>
    <w:rsid w:val="00C76DEE"/>
    <w:rsid w:val="00C80C75"/>
    <w:rsid w:val="00C8190F"/>
    <w:rsid w:val="00C82EA2"/>
    <w:rsid w:val="00C83CBC"/>
    <w:rsid w:val="00C84933"/>
    <w:rsid w:val="00C86681"/>
    <w:rsid w:val="00C867E6"/>
    <w:rsid w:val="00C867E7"/>
    <w:rsid w:val="00C86BFE"/>
    <w:rsid w:val="00C86DD9"/>
    <w:rsid w:val="00C86EBE"/>
    <w:rsid w:val="00C87BEA"/>
    <w:rsid w:val="00C87D83"/>
    <w:rsid w:val="00C87F41"/>
    <w:rsid w:val="00C923D9"/>
    <w:rsid w:val="00C92713"/>
    <w:rsid w:val="00C9386F"/>
    <w:rsid w:val="00C94CED"/>
    <w:rsid w:val="00C9576F"/>
    <w:rsid w:val="00C96BFB"/>
    <w:rsid w:val="00C97793"/>
    <w:rsid w:val="00C97FB6"/>
    <w:rsid w:val="00CA13A9"/>
    <w:rsid w:val="00CA282D"/>
    <w:rsid w:val="00CA2CDC"/>
    <w:rsid w:val="00CA3AD9"/>
    <w:rsid w:val="00CA4C59"/>
    <w:rsid w:val="00CB00E2"/>
    <w:rsid w:val="00CB09FE"/>
    <w:rsid w:val="00CB0B07"/>
    <w:rsid w:val="00CB298F"/>
    <w:rsid w:val="00CB2A08"/>
    <w:rsid w:val="00CB2E9A"/>
    <w:rsid w:val="00CB37EC"/>
    <w:rsid w:val="00CB4485"/>
    <w:rsid w:val="00CB569C"/>
    <w:rsid w:val="00CB6654"/>
    <w:rsid w:val="00CB6B8D"/>
    <w:rsid w:val="00CB7C3A"/>
    <w:rsid w:val="00CC0440"/>
    <w:rsid w:val="00CC3F44"/>
    <w:rsid w:val="00CC4AA0"/>
    <w:rsid w:val="00CC501F"/>
    <w:rsid w:val="00CC7654"/>
    <w:rsid w:val="00CC7B6F"/>
    <w:rsid w:val="00CC7BA0"/>
    <w:rsid w:val="00CD0771"/>
    <w:rsid w:val="00CD0BF8"/>
    <w:rsid w:val="00CD361E"/>
    <w:rsid w:val="00CD47B5"/>
    <w:rsid w:val="00CD47DA"/>
    <w:rsid w:val="00CE0758"/>
    <w:rsid w:val="00CE0DD9"/>
    <w:rsid w:val="00CE0E58"/>
    <w:rsid w:val="00CE15B8"/>
    <w:rsid w:val="00CE25C3"/>
    <w:rsid w:val="00CE367B"/>
    <w:rsid w:val="00CE46E5"/>
    <w:rsid w:val="00CE7991"/>
    <w:rsid w:val="00CE7E9C"/>
    <w:rsid w:val="00CE7F5A"/>
    <w:rsid w:val="00CF5888"/>
    <w:rsid w:val="00CF5AE5"/>
    <w:rsid w:val="00CF77CA"/>
    <w:rsid w:val="00CF7F66"/>
    <w:rsid w:val="00D016EF"/>
    <w:rsid w:val="00D03D9E"/>
    <w:rsid w:val="00D06351"/>
    <w:rsid w:val="00D064C9"/>
    <w:rsid w:val="00D068D2"/>
    <w:rsid w:val="00D0698C"/>
    <w:rsid w:val="00D1092F"/>
    <w:rsid w:val="00D120BA"/>
    <w:rsid w:val="00D16BCE"/>
    <w:rsid w:val="00D17A21"/>
    <w:rsid w:val="00D204D5"/>
    <w:rsid w:val="00D21430"/>
    <w:rsid w:val="00D2315C"/>
    <w:rsid w:val="00D242A4"/>
    <w:rsid w:val="00D248DF"/>
    <w:rsid w:val="00D276B3"/>
    <w:rsid w:val="00D278EE"/>
    <w:rsid w:val="00D30CAE"/>
    <w:rsid w:val="00D31A7F"/>
    <w:rsid w:val="00D31D07"/>
    <w:rsid w:val="00D359C8"/>
    <w:rsid w:val="00D4111B"/>
    <w:rsid w:val="00D43791"/>
    <w:rsid w:val="00D446A3"/>
    <w:rsid w:val="00D45BFC"/>
    <w:rsid w:val="00D46771"/>
    <w:rsid w:val="00D46DCE"/>
    <w:rsid w:val="00D4797B"/>
    <w:rsid w:val="00D501F0"/>
    <w:rsid w:val="00D506EB"/>
    <w:rsid w:val="00D50C3F"/>
    <w:rsid w:val="00D52798"/>
    <w:rsid w:val="00D53650"/>
    <w:rsid w:val="00D54A46"/>
    <w:rsid w:val="00D557B9"/>
    <w:rsid w:val="00D56337"/>
    <w:rsid w:val="00D57372"/>
    <w:rsid w:val="00D579AF"/>
    <w:rsid w:val="00D57C80"/>
    <w:rsid w:val="00D613B9"/>
    <w:rsid w:val="00D63630"/>
    <w:rsid w:val="00D67085"/>
    <w:rsid w:val="00D706C3"/>
    <w:rsid w:val="00D70B11"/>
    <w:rsid w:val="00D728A4"/>
    <w:rsid w:val="00D7377F"/>
    <w:rsid w:val="00D73F9E"/>
    <w:rsid w:val="00D74C6E"/>
    <w:rsid w:val="00D76D9F"/>
    <w:rsid w:val="00D77553"/>
    <w:rsid w:val="00D77CDE"/>
    <w:rsid w:val="00D77DD6"/>
    <w:rsid w:val="00D8154D"/>
    <w:rsid w:val="00D81747"/>
    <w:rsid w:val="00D82BCF"/>
    <w:rsid w:val="00D8617A"/>
    <w:rsid w:val="00D86A86"/>
    <w:rsid w:val="00D86CEB"/>
    <w:rsid w:val="00D86DF3"/>
    <w:rsid w:val="00D87F2F"/>
    <w:rsid w:val="00D902F6"/>
    <w:rsid w:val="00D92D9D"/>
    <w:rsid w:val="00D955A8"/>
    <w:rsid w:val="00D95B86"/>
    <w:rsid w:val="00D95B9D"/>
    <w:rsid w:val="00D964A2"/>
    <w:rsid w:val="00D9697F"/>
    <w:rsid w:val="00D97772"/>
    <w:rsid w:val="00DA509A"/>
    <w:rsid w:val="00DA59FA"/>
    <w:rsid w:val="00DA5CF2"/>
    <w:rsid w:val="00DA6C6C"/>
    <w:rsid w:val="00DA6D80"/>
    <w:rsid w:val="00DA72D4"/>
    <w:rsid w:val="00DB393F"/>
    <w:rsid w:val="00DB3F97"/>
    <w:rsid w:val="00DB46FA"/>
    <w:rsid w:val="00DB4837"/>
    <w:rsid w:val="00DC0B2B"/>
    <w:rsid w:val="00DC106F"/>
    <w:rsid w:val="00DC1517"/>
    <w:rsid w:val="00DC1A9E"/>
    <w:rsid w:val="00DC20A6"/>
    <w:rsid w:val="00DC2418"/>
    <w:rsid w:val="00DC2FD9"/>
    <w:rsid w:val="00DC312B"/>
    <w:rsid w:val="00DC3DD5"/>
    <w:rsid w:val="00DC6963"/>
    <w:rsid w:val="00DC6F1C"/>
    <w:rsid w:val="00DD0B66"/>
    <w:rsid w:val="00DD1E5C"/>
    <w:rsid w:val="00DD551E"/>
    <w:rsid w:val="00DD5A21"/>
    <w:rsid w:val="00DE00A9"/>
    <w:rsid w:val="00DE0DC6"/>
    <w:rsid w:val="00DE268A"/>
    <w:rsid w:val="00DE30C5"/>
    <w:rsid w:val="00DE5700"/>
    <w:rsid w:val="00DE66EB"/>
    <w:rsid w:val="00DE6F48"/>
    <w:rsid w:val="00DF0AA7"/>
    <w:rsid w:val="00DF0DC7"/>
    <w:rsid w:val="00DF3608"/>
    <w:rsid w:val="00DF4C4E"/>
    <w:rsid w:val="00DF58F1"/>
    <w:rsid w:val="00DF5D0E"/>
    <w:rsid w:val="00DF6359"/>
    <w:rsid w:val="00DF63F9"/>
    <w:rsid w:val="00E016BE"/>
    <w:rsid w:val="00E03E1B"/>
    <w:rsid w:val="00E050A9"/>
    <w:rsid w:val="00E0742C"/>
    <w:rsid w:val="00E0784B"/>
    <w:rsid w:val="00E128AF"/>
    <w:rsid w:val="00E12FA0"/>
    <w:rsid w:val="00E15B2A"/>
    <w:rsid w:val="00E15CA0"/>
    <w:rsid w:val="00E202D6"/>
    <w:rsid w:val="00E20E9C"/>
    <w:rsid w:val="00E21936"/>
    <w:rsid w:val="00E23CBD"/>
    <w:rsid w:val="00E2550D"/>
    <w:rsid w:val="00E27896"/>
    <w:rsid w:val="00E3031A"/>
    <w:rsid w:val="00E3230D"/>
    <w:rsid w:val="00E33A59"/>
    <w:rsid w:val="00E33D66"/>
    <w:rsid w:val="00E35C5D"/>
    <w:rsid w:val="00E364A2"/>
    <w:rsid w:val="00E36907"/>
    <w:rsid w:val="00E37493"/>
    <w:rsid w:val="00E40BEE"/>
    <w:rsid w:val="00E42C9F"/>
    <w:rsid w:val="00E432A6"/>
    <w:rsid w:val="00E43E33"/>
    <w:rsid w:val="00E44CAB"/>
    <w:rsid w:val="00E4552D"/>
    <w:rsid w:val="00E4556A"/>
    <w:rsid w:val="00E45670"/>
    <w:rsid w:val="00E45E83"/>
    <w:rsid w:val="00E46342"/>
    <w:rsid w:val="00E4647F"/>
    <w:rsid w:val="00E4662C"/>
    <w:rsid w:val="00E522C7"/>
    <w:rsid w:val="00E52958"/>
    <w:rsid w:val="00E52D33"/>
    <w:rsid w:val="00E53CD4"/>
    <w:rsid w:val="00E53D3C"/>
    <w:rsid w:val="00E5452C"/>
    <w:rsid w:val="00E559DE"/>
    <w:rsid w:val="00E56C96"/>
    <w:rsid w:val="00E56D00"/>
    <w:rsid w:val="00E571B7"/>
    <w:rsid w:val="00E57BF9"/>
    <w:rsid w:val="00E60D9E"/>
    <w:rsid w:val="00E61FC6"/>
    <w:rsid w:val="00E62BE5"/>
    <w:rsid w:val="00E64DA8"/>
    <w:rsid w:val="00E65662"/>
    <w:rsid w:val="00E66107"/>
    <w:rsid w:val="00E70352"/>
    <w:rsid w:val="00E71DD2"/>
    <w:rsid w:val="00E724B7"/>
    <w:rsid w:val="00E72F95"/>
    <w:rsid w:val="00E7342A"/>
    <w:rsid w:val="00E76E91"/>
    <w:rsid w:val="00E774F4"/>
    <w:rsid w:val="00E77604"/>
    <w:rsid w:val="00E81089"/>
    <w:rsid w:val="00E822E4"/>
    <w:rsid w:val="00E835C7"/>
    <w:rsid w:val="00E837AE"/>
    <w:rsid w:val="00E83A7A"/>
    <w:rsid w:val="00E8434B"/>
    <w:rsid w:val="00E85731"/>
    <w:rsid w:val="00E85A63"/>
    <w:rsid w:val="00E872D3"/>
    <w:rsid w:val="00E878BE"/>
    <w:rsid w:val="00E87B8B"/>
    <w:rsid w:val="00E9008C"/>
    <w:rsid w:val="00E90C26"/>
    <w:rsid w:val="00E913EA"/>
    <w:rsid w:val="00E91432"/>
    <w:rsid w:val="00E91A65"/>
    <w:rsid w:val="00E9475A"/>
    <w:rsid w:val="00E94954"/>
    <w:rsid w:val="00E94EDE"/>
    <w:rsid w:val="00E952F7"/>
    <w:rsid w:val="00E95B46"/>
    <w:rsid w:val="00E962B0"/>
    <w:rsid w:val="00E96853"/>
    <w:rsid w:val="00EA17EC"/>
    <w:rsid w:val="00EA1DEB"/>
    <w:rsid w:val="00EA2BE0"/>
    <w:rsid w:val="00EA331D"/>
    <w:rsid w:val="00EA3C22"/>
    <w:rsid w:val="00EA50B8"/>
    <w:rsid w:val="00EA61B0"/>
    <w:rsid w:val="00EA6EF5"/>
    <w:rsid w:val="00EA7D00"/>
    <w:rsid w:val="00EB12DE"/>
    <w:rsid w:val="00EB233A"/>
    <w:rsid w:val="00EB245F"/>
    <w:rsid w:val="00EB3E58"/>
    <w:rsid w:val="00EB6B00"/>
    <w:rsid w:val="00EB710B"/>
    <w:rsid w:val="00EC01C9"/>
    <w:rsid w:val="00EC03AC"/>
    <w:rsid w:val="00EC0D03"/>
    <w:rsid w:val="00EC162F"/>
    <w:rsid w:val="00EC2113"/>
    <w:rsid w:val="00EC4519"/>
    <w:rsid w:val="00EC4CBB"/>
    <w:rsid w:val="00EC5D53"/>
    <w:rsid w:val="00EC676B"/>
    <w:rsid w:val="00ED2B98"/>
    <w:rsid w:val="00ED4EAE"/>
    <w:rsid w:val="00ED54C9"/>
    <w:rsid w:val="00ED5BD7"/>
    <w:rsid w:val="00ED63CD"/>
    <w:rsid w:val="00ED7096"/>
    <w:rsid w:val="00ED7CEE"/>
    <w:rsid w:val="00EE0C7E"/>
    <w:rsid w:val="00EE0D59"/>
    <w:rsid w:val="00EE1023"/>
    <w:rsid w:val="00EE1157"/>
    <w:rsid w:val="00EE1571"/>
    <w:rsid w:val="00EE2876"/>
    <w:rsid w:val="00EE493E"/>
    <w:rsid w:val="00EE5717"/>
    <w:rsid w:val="00EE572A"/>
    <w:rsid w:val="00EF25E6"/>
    <w:rsid w:val="00EF31AA"/>
    <w:rsid w:val="00EF44EE"/>
    <w:rsid w:val="00EF503B"/>
    <w:rsid w:val="00EF7442"/>
    <w:rsid w:val="00F00140"/>
    <w:rsid w:val="00F029BE"/>
    <w:rsid w:val="00F03157"/>
    <w:rsid w:val="00F102AD"/>
    <w:rsid w:val="00F10A21"/>
    <w:rsid w:val="00F13486"/>
    <w:rsid w:val="00F16BB7"/>
    <w:rsid w:val="00F16E2F"/>
    <w:rsid w:val="00F213F0"/>
    <w:rsid w:val="00F21853"/>
    <w:rsid w:val="00F2193C"/>
    <w:rsid w:val="00F224BF"/>
    <w:rsid w:val="00F22965"/>
    <w:rsid w:val="00F26298"/>
    <w:rsid w:val="00F278B4"/>
    <w:rsid w:val="00F31AE6"/>
    <w:rsid w:val="00F321CC"/>
    <w:rsid w:val="00F3244C"/>
    <w:rsid w:val="00F3263C"/>
    <w:rsid w:val="00F351AB"/>
    <w:rsid w:val="00F3760F"/>
    <w:rsid w:val="00F40805"/>
    <w:rsid w:val="00F408B1"/>
    <w:rsid w:val="00F41C6B"/>
    <w:rsid w:val="00F420A8"/>
    <w:rsid w:val="00F425CA"/>
    <w:rsid w:val="00F4282E"/>
    <w:rsid w:val="00F43461"/>
    <w:rsid w:val="00F4356C"/>
    <w:rsid w:val="00F44A02"/>
    <w:rsid w:val="00F4501D"/>
    <w:rsid w:val="00F4693E"/>
    <w:rsid w:val="00F47548"/>
    <w:rsid w:val="00F504DB"/>
    <w:rsid w:val="00F52568"/>
    <w:rsid w:val="00F54615"/>
    <w:rsid w:val="00F5588B"/>
    <w:rsid w:val="00F60951"/>
    <w:rsid w:val="00F62B3F"/>
    <w:rsid w:val="00F62BAD"/>
    <w:rsid w:val="00F63828"/>
    <w:rsid w:val="00F64CBD"/>
    <w:rsid w:val="00F6541F"/>
    <w:rsid w:val="00F67A7E"/>
    <w:rsid w:val="00F739DD"/>
    <w:rsid w:val="00F74395"/>
    <w:rsid w:val="00F7679D"/>
    <w:rsid w:val="00F7686D"/>
    <w:rsid w:val="00F76EDB"/>
    <w:rsid w:val="00F77696"/>
    <w:rsid w:val="00F80E48"/>
    <w:rsid w:val="00F820DB"/>
    <w:rsid w:val="00F8265C"/>
    <w:rsid w:val="00F829C6"/>
    <w:rsid w:val="00F843F2"/>
    <w:rsid w:val="00F84895"/>
    <w:rsid w:val="00F85837"/>
    <w:rsid w:val="00F873B1"/>
    <w:rsid w:val="00F8794C"/>
    <w:rsid w:val="00F913FC"/>
    <w:rsid w:val="00F9252D"/>
    <w:rsid w:val="00F92913"/>
    <w:rsid w:val="00FA132B"/>
    <w:rsid w:val="00FA249B"/>
    <w:rsid w:val="00FA2517"/>
    <w:rsid w:val="00FA2C36"/>
    <w:rsid w:val="00FA3B05"/>
    <w:rsid w:val="00FA428D"/>
    <w:rsid w:val="00FA4835"/>
    <w:rsid w:val="00FA4E67"/>
    <w:rsid w:val="00FA582B"/>
    <w:rsid w:val="00FA5E8B"/>
    <w:rsid w:val="00FB0CEA"/>
    <w:rsid w:val="00FB0CFF"/>
    <w:rsid w:val="00FB1C0E"/>
    <w:rsid w:val="00FB24D1"/>
    <w:rsid w:val="00FC09EA"/>
    <w:rsid w:val="00FC10C3"/>
    <w:rsid w:val="00FC23DA"/>
    <w:rsid w:val="00FC3196"/>
    <w:rsid w:val="00FC3D1B"/>
    <w:rsid w:val="00FC4AC0"/>
    <w:rsid w:val="00FC4F6E"/>
    <w:rsid w:val="00FC63C2"/>
    <w:rsid w:val="00FC73ED"/>
    <w:rsid w:val="00FC7902"/>
    <w:rsid w:val="00FD03A9"/>
    <w:rsid w:val="00FD2B9B"/>
    <w:rsid w:val="00FD49C7"/>
    <w:rsid w:val="00FD54A7"/>
    <w:rsid w:val="00FD5C48"/>
    <w:rsid w:val="00FD64D5"/>
    <w:rsid w:val="00FD791D"/>
    <w:rsid w:val="00FD7B72"/>
    <w:rsid w:val="00FE15F8"/>
    <w:rsid w:val="00FE1F10"/>
    <w:rsid w:val="00FE2081"/>
    <w:rsid w:val="00FE3202"/>
    <w:rsid w:val="00FE5AC7"/>
    <w:rsid w:val="00FE62FD"/>
    <w:rsid w:val="00FE69B8"/>
    <w:rsid w:val="00FE7033"/>
    <w:rsid w:val="00FF0E23"/>
    <w:rsid w:val="00FF15DE"/>
    <w:rsid w:val="00FF1717"/>
    <w:rsid w:val="00FF2A6A"/>
    <w:rsid w:val="00FF35CF"/>
    <w:rsid w:val="00FF47DA"/>
    <w:rsid w:val="012045AA"/>
    <w:rsid w:val="016C4C27"/>
    <w:rsid w:val="01A220A3"/>
    <w:rsid w:val="01C866F3"/>
    <w:rsid w:val="01EF1423"/>
    <w:rsid w:val="024649CA"/>
    <w:rsid w:val="02BD5D0D"/>
    <w:rsid w:val="02E16EA8"/>
    <w:rsid w:val="02EC0C88"/>
    <w:rsid w:val="02F6716B"/>
    <w:rsid w:val="030B000A"/>
    <w:rsid w:val="03516BD8"/>
    <w:rsid w:val="036367A9"/>
    <w:rsid w:val="03A34D06"/>
    <w:rsid w:val="03A71043"/>
    <w:rsid w:val="03A77AB2"/>
    <w:rsid w:val="03CA4BC5"/>
    <w:rsid w:val="03D75FE4"/>
    <w:rsid w:val="03DF70E9"/>
    <w:rsid w:val="03E12F58"/>
    <w:rsid w:val="04380A7C"/>
    <w:rsid w:val="048A5003"/>
    <w:rsid w:val="04AE2C39"/>
    <w:rsid w:val="04E74593"/>
    <w:rsid w:val="05851B98"/>
    <w:rsid w:val="05903B69"/>
    <w:rsid w:val="05A514E7"/>
    <w:rsid w:val="05E07B1B"/>
    <w:rsid w:val="06320837"/>
    <w:rsid w:val="06B52DBF"/>
    <w:rsid w:val="074573FA"/>
    <w:rsid w:val="076D4D3B"/>
    <w:rsid w:val="07A25E03"/>
    <w:rsid w:val="088F1522"/>
    <w:rsid w:val="089260BF"/>
    <w:rsid w:val="089C322F"/>
    <w:rsid w:val="08C0216A"/>
    <w:rsid w:val="08FF6B64"/>
    <w:rsid w:val="09153DF2"/>
    <w:rsid w:val="095301C4"/>
    <w:rsid w:val="09D20297"/>
    <w:rsid w:val="0A0544CB"/>
    <w:rsid w:val="0A2B13BC"/>
    <w:rsid w:val="0A2D48BF"/>
    <w:rsid w:val="0A3041AA"/>
    <w:rsid w:val="0A305844"/>
    <w:rsid w:val="0A5F2B10"/>
    <w:rsid w:val="0A600543"/>
    <w:rsid w:val="0A695442"/>
    <w:rsid w:val="0A7F52ED"/>
    <w:rsid w:val="0ABB3229"/>
    <w:rsid w:val="0ACF7116"/>
    <w:rsid w:val="0B022194"/>
    <w:rsid w:val="0BAD57ED"/>
    <w:rsid w:val="0C811890"/>
    <w:rsid w:val="0C9C0EF9"/>
    <w:rsid w:val="0CA903D4"/>
    <w:rsid w:val="0CBF1B35"/>
    <w:rsid w:val="0CD04E93"/>
    <w:rsid w:val="0D343779"/>
    <w:rsid w:val="0D8B55C6"/>
    <w:rsid w:val="0DCA2B2C"/>
    <w:rsid w:val="0DDB40CB"/>
    <w:rsid w:val="0E132027"/>
    <w:rsid w:val="0E53178C"/>
    <w:rsid w:val="0E9118BB"/>
    <w:rsid w:val="0EF92209"/>
    <w:rsid w:val="0F220B5F"/>
    <w:rsid w:val="0F773184"/>
    <w:rsid w:val="1000054D"/>
    <w:rsid w:val="10295102"/>
    <w:rsid w:val="1045503C"/>
    <w:rsid w:val="104751EE"/>
    <w:rsid w:val="107F2121"/>
    <w:rsid w:val="10946843"/>
    <w:rsid w:val="10E010AE"/>
    <w:rsid w:val="11285A31"/>
    <w:rsid w:val="114D71E4"/>
    <w:rsid w:val="116A2115"/>
    <w:rsid w:val="11C449B6"/>
    <w:rsid w:val="12072620"/>
    <w:rsid w:val="122C0CB7"/>
    <w:rsid w:val="127846EA"/>
    <w:rsid w:val="12907582"/>
    <w:rsid w:val="12C27783"/>
    <w:rsid w:val="12E34093"/>
    <w:rsid w:val="132D2C84"/>
    <w:rsid w:val="134B6F1C"/>
    <w:rsid w:val="137B1BE2"/>
    <w:rsid w:val="138B54AF"/>
    <w:rsid w:val="138D5E2E"/>
    <w:rsid w:val="13D34716"/>
    <w:rsid w:val="13E3539D"/>
    <w:rsid w:val="1428639F"/>
    <w:rsid w:val="146A5887"/>
    <w:rsid w:val="148876BD"/>
    <w:rsid w:val="149B13A3"/>
    <w:rsid w:val="1506087D"/>
    <w:rsid w:val="150B4483"/>
    <w:rsid w:val="15930E74"/>
    <w:rsid w:val="15C33BC1"/>
    <w:rsid w:val="165B44AE"/>
    <w:rsid w:val="166416D5"/>
    <w:rsid w:val="16822CFB"/>
    <w:rsid w:val="16CB68DF"/>
    <w:rsid w:val="16E52D9F"/>
    <w:rsid w:val="1763586C"/>
    <w:rsid w:val="17656013"/>
    <w:rsid w:val="17971D6A"/>
    <w:rsid w:val="17C90A93"/>
    <w:rsid w:val="17CB3F96"/>
    <w:rsid w:val="1831427A"/>
    <w:rsid w:val="18767CB3"/>
    <w:rsid w:val="18A64A2C"/>
    <w:rsid w:val="18D5342A"/>
    <w:rsid w:val="18EF1CBE"/>
    <w:rsid w:val="191F35C3"/>
    <w:rsid w:val="192C06DB"/>
    <w:rsid w:val="194E5067"/>
    <w:rsid w:val="1957162B"/>
    <w:rsid w:val="19613B38"/>
    <w:rsid w:val="19D80AB4"/>
    <w:rsid w:val="1A230C64"/>
    <w:rsid w:val="1A4B44E5"/>
    <w:rsid w:val="1AAE7552"/>
    <w:rsid w:val="1B001EEC"/>
    <w:rsid w:val="1B256297"/>
    <w:rsid w:val="1B264023"/>
    <w:rsid w:val="1B4C6157"/>
    <w:rsid w:val="1BCE542B"/>
    <w:rsid w:val="1BF73705"/>
    <w:rsid w:val="1C346454"/>
    <w:rsid w:val="1C4B6079"/>
    <w:rsid w:val="1C756EBE"/>
    <w:rsid w:val="1CA6768D"/>
    <w:rsid w:val="1D085FD6"/>
    <w:rsid w:val="1D3A4CD9"/>
    <w:rsid w:val="1D41310E"/>
    <w:rsid w:val="1D77743D"/>
    <w:rsid w:val="1DBB1753"/>
    <w:rsid w:val="1DC0365D"/>
    <w:rsid w:val="1DE21613"/>
    <w:rsid w:val="1DE47588"/>
    <w:rsid w:val="1E376CBD"/>
    <w:rsid w:val="1E53644F"/>
    <w:rsid w:val="1E8F2A30"/>
    <w:rsid w:val="1EB16DF4"/>
    <w:rsid w:val="1EB554B4"/>
    <w:rsid w:val="1F0B2B6C"/>
    <w:rsid w:val="1F6313C0"/>
    <w:rsid w:val="1F7E5D68"/>
    <w:rsid w:val="1FB0418D"/>
    <w:rsid w:val="1FCA53B9"/>
    <w:rsid w:val="20151933"/>
    <w:rsid w:val="205C5F6F"/>
    <w:rsid w:val="20AF2A2B"/>
    <w:rsid w:val="212254A6"/>
    <w:rsid w:val="21765C9F"/>
    <w:rsid w:val="22C801B2"/>
    <w:rsid w:val="22CF607A"/>
    <w:rsid w:val="22D30D06"/>
    <w:rsid w:val="22DC1AFA"/>
    <w:rsid w:val="22E152C9"/>
    <w:rsid w:val="231D18AB"/>
    <w:rsid w:val="23AD4F39"/>
    <w:rsid w:val="23E3309D"/>
    <w:rsid w:val="248405AE"/>
    <w:rsid w:val="249E2B78"/>
    <w:rsid w:val="25194B68"/>
    <w:rsid w:val="25413B2E"/>
    <w:rsid w:val="254237AE"/>
    <w:rsid w:val="254F08C6"/>
    <w:rsid w:val="258A19A4"/>
    <w:rsid w:val="25B95A0F"/>
    <w:rsid w:val="266876DA"/>
    <w:rsid w:val="266B47F8"/>
    <w:rsid w:val="26DE7425"/>
    <w:rsid w:val="2778388E"/>
    <w:rsid w:val="282D2A5B"/>
    <w:rsid w:val="289C222B"/>
    <w:rsid w:val="28B019B7"/>
    <w:rsid w:val="28C27EED"/>
    <w:rsid w:val="28CC407F"/>
    <w:rsid w:val="29E37FC4"/>
    <w:rsid w:val="29E56D4B"/>
    <w:rsid w:val="29FD21F3"/>
    <w:rsid w:val="2AEB56E8"/>
    <w:rsid w:val="2B6E554D"/>
    <w:rsid w:val="2B9144CC"/>
    <w:rsid w:val="2BA60F2A"/>
    <w:rsid w:val="2BB13356"/>
    <w:rsid w:val="2BFD51BC"/>
    <w:rsid w:val="2C0B0477"/>
    <w:rsid w:val="2C364F95"/>
    <w:rsid w:val="2C47517F"/>
    <w:rsid w:val="2D136F02"/>
    <w:rsid w:val="2D3043CE"/>
    <w:rsid w:val="2D5A2F60"/>
    <w:rsid w:val="2DB25F95"/>
    <w:rsid w:val="2DCF50B7"/>
    <w:rsid w:val="2E313FF3"/>
    <w:rsid w:val="2E801657"/>
    <w:rsid w:val="2EA42B11"/>
    <w:rsid w:val="2EB4519C"/>
    <w:rsid w:val="2F082BE8"/>
    <w:rsid w:val="2FAF42C8"/>
    <w:rsid w:val="2FD524D3"/>
    <w:rsid w:val="2FDC1914"/>
    <w:rsid w:val="307E369B"/>
    <w:rsid w:val="30AE7E0F"/>
    <w:rsid w:val="30E92D4B"/>
    <w:rsid w:val="31784BB8"/>
    <w:rsid w:val="318A28D4"/>
    <w:rsid w:val="318A4D95"/>
    <w:rsid w:val="319434F1"/>
    <w:rsid w:val="31B43718"/>
    <w:rsid w:val="31D30229"/>
    <w:rsid w:val="31DE235E"/>
    <w:rsid w:val="322E1833"/>
    <w:rsid w:val="32483F8C"/>
    <w:rsid w:val="32496611"/>
    <w:rsid w:val="333F557A"/>
    <w:rsid w:val="335A72CC"/>
    <w:rsid w:val="336246D8"/>
    <w:rsid w:val="33933FAE"/>
    <w:rsid w:val="34792FA7"/>
    <w:rsid w:val="34797724"/>
    <w:rsid w:val="34BB4CF7"/>
    <w:rsid w:val="34E42F78"/>
    <w:rsid w:val="36491F1D"/>
    <w:rsid w:val="36720B63"/>
    <w:rsid w:val="36E063AD"/>
    <w:rsid w:val="370C1C5B"/>
    <w:rsid w:val="37547345"/>
    <w:rsid w:val="376C0D7B"/>
    <w:rsid w:val="37A159D2"/>
    <w:rsid w:val="37E167BB"/>
    <w:rsid w:val="38412DAA"/>
    <w:rsid w:val="38920B84"/>
    <w:rsid w:val="39082082"/>
    <w:rsid w:val="39404179"/>
    <w:rsid w:val="39825EE7"/>
    <w:rsid w:val="398413EB"/>
    <w:rsid w:val="39EE3092"/>
    <w:rsid w:val="3A121F53"/>
    <w:rsid w:val="3A3239EC"/>
    <w:rsid w:val="3A622636"/>
    <w:rsid w:val="3A6619DD"/>
    <w:rsid w:val="3A7263C4"/>
    <w:rsid w:val="3A7900FD"/>
    <w:rsid w:val="3B0E0EF1"/>
    <w:rsid w:val="3B2C3D25"/>
    <w:rsid w:val="3B4B36BB"/>
    <w:rsid w:val="3B5228DF"/>
    <w:rsid w:val="3B5B4D24"/>
    <w:rsid w:val="3B6A5D88"/>
    <w:rsid w:val="3B751B9A"/>
    <w:rsid w:val="3BC00246"/>
    <w:rsid w:val="3BC14FFF"/>
    <w:rsid w:val="3C1B5BAC"/>
    <w:rsid w:val="3C471EF3"/>
    <w:rsid w:val="3C576874"/>
    <w:rsid w:val="3C697EA9"/>
    <w:rsid w:val="3CF94250"/>
    <w:rsid w:val="3D30661D"/>
    <w:rsid w:val="3D785FFC"/>
    <w:rsid w:val="3D876102"/>
    <w:rsid w:val="3DB71847"/>
    <w:rsid w:val="3E1424DE"/>
    <w:rsid w:val="3ECF1966"/>
    <w:rsid w:val="3F577277"/>
    <w:rsid w:val="3F692A15"/>
    <w:rsid w:val="3FD8434D"/>
    <w:rsid w:val="40337EDF"/>
    <w:rsid w:val="40650EF4"/>
    <w:rsid w:val="4086581B"/>
    <w:rsid w:val="410924C1"/>
    <w:rsid w:val="412A6279"/>
    <w:rsid w:val="4145712F"/>
    <w:rsid w:val="414A2F2A"/>
    <w:rsid w:val="41D40B7C"/>
    <w:rsid w:val="41DD51D6"/>
    <w:rsid w:val="42047614"/>
    <w:rsid w:val="422F44A2"/>
    <w:rsid w:val="425D2834"/>
    <w:rsid w:val="4265497C"/>
    <w:rsid w:val="426D03E0"/>
    <w:rsid w:val="42814544"/>
    <w:rsid w:val="42D25330"/>
    <w:rsid w:val="433B36DA"/>
    <w:rsid w:val="437774DA"/>
    <w:rsid w:val="439475EC"/>
    <w:rsid w:val="43B57B21"/>
    <w:rsid w:val="43D56A6C"/>
    <w:rsid w:val="43DA7F24"/>
    <w:rsid w:val="440234A3"/>
    <w:rsid w:val="44356262"/>
    <w:rsid w:val="443E2003"/>
    <w:rsid w:val="4449229C"/>
    <w:rsid w:val="44516AA5"/>
    <w:rsid w:val="445C4E37"/>
    <w:rsid w:val="4494165D"/>
    <w:rsid w:val="44EF65A4"/>
    <w:rsid w:val="456A1771"/>
    <w:rsid w:val="45AB7FDC"/>
    <w:rsid w:val="45BA55E7"/>
    <w:rsid w:val="46246C67"/>
    <w:rsid w:val="462A2AA8"/>
    <w:rsid w:val="464E19E9"/>
    <w:rsid w:val="468B5712"/>
    <w:rsid w:val="46C1191F"/>
    <w:rsid w:val="46EC05E8"/>
    <w:rsid w:val="46FC6684"/>
    <w:rsid w:val="47243A7B"/>
    <w:rsid w:val="473A3C4F"/>
    <w:rsid w:val="47A21312"/>
    <w:rsid w:val="47C05A64"/>
    <w:rsid w:val="47C076C6"/>
    <w:rsid w:val="47DF6240"/>
    <w:rsid w:val="48453F0F"/>
    <w:rsid w:val="48F52103"/>
    <w:rsid w:val="492923A4"/>
    <w:rsid w:val="496D6F99"/>
    <w:rsid w:val="49827F58"/>
    <w:rsid w:val="4A04237F"/>
    <w:rsid w:val="4A2C1D3E"/>
    <w:rsid w:val="4A3A6AD6"/>
    <w:rsid w:val="4A72352D"/>
    <w:rsid w:val="4A761D82"/>
    <w:rsid w:val="4A901A63"/>
    <w:rsid w:val="4A94190B"/>
    <w:rsid w:val="4ABA1867"/>
    <w:rsid w:val="4ACA50C0"/>
    <w:rsid w:val="4AE71C85"/>
    <w:rsid w:val="4AFA4B33"/>
    <w:rsid w:val="4B2D7BDB"/>
    <w:rsid w:val="4B2E24D4"/>
    <w:rsid w:val="4B995817"/>
    <w:rsid w:val="4BA6255B"/>
    <w:rsid w:val="4BC61AE0"/>
    <w:rsid w:val="4BD966B6"/>
    <w:rsid w:val="4C240C74"/>
    <w:rsid w:val="4C675DE6"/>
    <w:rsid w:val="4CDE6A80"/>
    <w:rsid w:val="4CEF2847"/>
    <w:rsid w:val="4D131782"/>
    <w:rsid w:val="4DCD2F72"/>
    <w:rsid w:val="4DFD55EC"/>
    <w:rsid w:val="4EA25710"/>
    <w:rsid w:val="4EB17834"/>
    <w:rsid w:val="4EB26E3C"/>
    <w:rsid w:val="4EFF261B"/>
    <w:rsid w:val="4F036A2F"/>
    <w:rsid w:val="4F1E6963"/>
    <w:rsid w:val="4F4670FC"/>
    <w:rsid w:val="4F515236"/>
    <w:rsid w:val="4F7D349B"/>
    <w:rsid w:val="4FA0465B"/>
    <w:rsid w:val="4FEE5732"/>
    <w:rsid w:val="503E7911"/>
    <w:rsid w:val="50953C33"/>
    <w:rsid w:val="50D4714A"/>
    <w:rsid w:val="514E6703"/>
    <w:rsid w:val="516D030B"/>
    <w:rsid w:val="5254009F"/>
    <w:rsid w:val="52586AA6"/>
    <w:rsid w:val="52C23F57"/>
    <w:rsid w:val="52DB37FC"/>
    <w:rsid w:val="532E06AF"/>
    <w:rsid w:val="53416A23"/>
    <w:rsid w:val="53E04E54"/>
    <w:rsid w:val="54171005"/>
    <w:rsid w:val="542F1B45"/>
    <w:rsid w:val="546C1C7E"/>
    <w:rsid w:val="54874862"/>
    <w:rsid w:val="54C855A5"/>
    <w:rsid w:val="54F15B76"/>
    <w:rsid w:val="54F31C6D"/>
    <w:rsid w:val="54F97638"/>
    <w:rsid w:val="55CE25E7"/>
    <w:rsid w:val="55FB6FCF"/>
    <w:rsid w:val="56C5351D"/>
    <w:rsid w:val="57201576"/>
    <w:rsid w:val="576672E0"/>
    <w:rsid w:val="57CD289A"/>
    <w:rsid w:val="57D43C16"/>
    <w:rsid w:val="5893555B"/>
    <w:rsid w:val="58C54B31"/>
    <w:rsid w:val="59620232"/>
    <w:rsid w:val="598F1FFB"/>
    <w:rsid w:val="59F477A1"/>
    <w:rsid w:val="5A4C43AF"/>
    <w:rsid w:val="5A4E49B8"/>
    <w:rsid w:val="5A862593"/>
    <w:rsid w:val="5A9C00ED"/>
    <w:rsid w:val="5AB6785F"/>
    <w:rsid w:val="5ADA3C6A"/>
    <w:rsid w:val="5AE76948"/>
    <w:rsid w:val="5AF035A9"/>
    <w:rsid w:val="5B0E2BDB"/>
    <w:rsid w:val="5B25157D"/>
    <w:rsid w:val="5B8C403F"/>
    <w:rsid w:val="5B91625F"/>
    <w:rsid w:val="5BB4767B"/>
    <w:rsid w:val="5BCB1882"/>
    <w:rsid w:val="5BD31314"/>
    <w:rsid w:val="5BFC1263"/>
    <w:rsid w:val="5C2C0D93"/>
    <w:rsid w:val="5C8C19E4"/>
    <w:rsid w:val="5CCD6823"/>
    <w:rsid w:val="5D2D376B"/>
    <w:rsid w:val="5DCA38C1"/>
    <w:rsid w:val="5DDE7CA6"/>
    <w:rsid w:val="5E1761EC"/>
    <w:rsid w:val="5E19466D"/>
    <w:rsid w:val="5E3E7B97"/>
    <w:rsid w:val="5EB700D0"/>
    <w:rsid w:val="5EBE2BFD"/>
    <w:rsid w:val="5ECB4B85"/>
    <w:rsid w:val="5ED75D25"/>
    <w:rsid w:val="5F0C077E"/>
    <w:rsid w:val="5F0D16BE"/>
    <w:rsid w:val="5F1E649A"/>
    <w:rsid w:val="5F2361A5"/>
    <w:rsid w:val="5F5159EF"/>
    <w:rsid w:val="5F67327A"/>
    <w:rsid w:val="5F6D531F"/>
    <w:rsid w:val="5F7B7163"/>
    <w:rsid w:val="5FE11A5B"/>
    <w:rsid w:val="5FE84FF3"/>
    <w:rsid w:val="600E4E84"/>
    <w:rsid w:val="60B707B9"/>
    <w:rsid w:val="61466DA4"/>
    <w:rsid w:val="614957F3"/>
    <w:rsid w:val="617E2781"/>
    <w:rsid w:val="6199662E"/>
    <w:rsid w:val="619D3E1F"/>
    <w:rsid w:val="61EC2DB5"/>
    <w:rsid w:val="629E7899"/>
    <w:rsid w:val="62BC1648"/>
    <w:rsid w:val="62E47AC9"/>
    <w:rsid w:val="632813A9"/>
    <w:rsid w:val="63463813"/>
    <w:rsid w:val="63551245"/>
    <w:rsid w:val="636D582F"/>
    <w:rsid w:val="63745A85"/>
    <w:rsid w:val="63857653"/>
    <w:rsid w:val="648A6F00"/>
    <w:rsid w:val="64B33CFB"/>
    <w:rsid w:val="64B646EB"/>
    <w:rsid w:val="64BB2F53"/>
    <w:rsid w:val="64CB796A"/>
    <w:rsid w:val="64D21BE7"/>
    <w:rsid w:val="64E42A92"/>
    <w:rsid w:val="65891A1A"/>
    <w:rsid w:val="65904230"/>
    <w:rsid w:val="659F31C5"/>
    <w:rsid w:val="65BA5074"/>
    <w:rsid w:val="65DC302A"/>
    <w:rsid w:val="65E33048"/>
    <w:rsid w:val="663911C6"/>
    <w:rsid w:val="667924D4"/>
    <w:rsid w:val="667A38B9"/>
    <w:rsid w:val="668A1EC9"/>
    <w:rsid w:val="6717752F"/>
    <w:rsid w:val="679F1C48"/>
    <w:rsid w:val="67AA4E51"/>
    <w:rsid w:val="67B13EAA"/>
    <w:rsid w:val="68122C4A"/>
    <w:rsid w:val="68546F36"/>
    <w:rsid w:val="68981FA9"/>
    <w:rsid w:val="68F42A62"/>
    <w:rsid w:val="69760313"/>
    <w:rsid w:val="69A47B5D"/>
    <w:rsid w:val="69CC6B23"/>
    <w:rsid w:val="6A87614F"/>
    <w:rsid w:val="6A8A40CA"/>
    <w:rsid w:val="6ADB565B"/>
    <w:rsid w:val="6B1E1FFC"/>
    <w:rsid w:val="6B457289"/>
    <w:rsid w:val="6B4E599A"/>
    <w:rsid w:val="6B713513"/>
    <w:rsid w:val="6B7D2C66"/>
    <w:rsid w:val="6B9848DC"/>
    <w:rsid w:val="6BA779FD"/>
    <w:rsid w:val="6BC049D4"/>
    <w:rsid w:val="6BDA2A0C"/>
    <w:rsid w:val="6C185E67"/>
    <w:rsid w:val="6C2E088C"/>
    <w:rsid w:val="6C562949"/>
    <w:rsid w:val="6C621FDF"/>
    <w:rsid w:val="6C9F78C6"/>
    <w:rsid w:val="6CA6737F"/>
    <w:rsid w:val="6D715CF6"/>
    <w:rsid w:val="6E675A66"/>
    <w:rsid w:val="6E7C7429"/>
    <w:rsid w:val="6E8A3CC5"/>
    <w:rsid w:val="6EA66996"/>
    <w:rsid w:val="6EDA00EA"/>
    <w:rsid w:val="6F144655"/>
    <w:rsid w:val="6F181253"/>
    <w:rsid w:val="6F3A3986"/>
    <w:rsid w:val="6F4F4AAA"/>
    <w:rsid w:val="6F9A7306"/>
    <w:rsid w:val="6FC722F1"/>
    <w:rsid w:val="6FCF2F80"/>
    <w:rsid w:val="6FD77797"/>
    <w:rsid w:val="70180DF6"/>
    <w:rsid w:val="704413C5"/>
    <w:rsid w:val="70AE4D6E"/>
    <w:rsid w:val="710245F7"/>
    <w:rsid w:val="71072C7D"/>
    <w:rsid w:val="71490712"/>
    <w:rsid w:val="71C54622"/>
    <w:rsid w:val="71D11865"/>
    <w:rsid w:val="71EA072F"/>
    <w:rsid w:val="72277783"/>
    <w:rsid w:val="725B1316"/>
    <w:rsid w:val="72AE42B2"/>
    <w:rsid w:val="72DB607B"/>
    <w:rsid w:val="7304556E"/>
    <w:rsid w:val="73372F12"/>
    <w:rsid w:val="733B43FF"/>
    <w:rsid w:val="734D7008"/>
    <w:rsid w:val="739412FA"/>
    <w:rsid w:val="74276762"/>
    <w:rsid w:val="74BB40D8"/>
    <w:rsid w:val="75477364"/>
    <w:rsid w:val="75B94ECF"/>
    <w:rsid w:val="75FA3FB7"/>
    <w:rsid w:val="76123B82"/>
    <w:rsid w:val="766D3D59"/>
    <w:rsid w:val="76E323F5"/>
    <w:rsid w:val="77CE591B"/>
    <w:rsid w:val="77D5613C"/>
    <w:rsid w:val="77E82992"/>
    <w:rsid w:val="78285894"/>
    <w:rsid w:val="78E149F2"/>
    <w:rsid w:val="79171739"/>
    <w:rsid w:val="793C1E5E"/>
    <w:rsid w:val="7960650E"/>
    <w:rsid w:val="79D31AEC"/>
    <w:rsid w:val="79E60F98"/>
    <w:rsid w:val="79E86B94"/>
    <w:rsid w:val="79F82721"/>
    <w:rsid w:val="7A1173D2"/>
    <w:rsid w:val="7AAB1AA8"/>
    <w:rsid w:val="7B3429AD"/>
    <w:rsid w:val="7B457207"/>
    <w:rsid w:val="7B646D7F"/>
    <w:rsid w:val="7BBC71C1"/>
    <w:rsid w:val="7C0D5F13"/>
    <w:rsid w:val="7C270D65"/>
    <w:rsid w:val="7CE93B47"/>
    <w:rsid w:val="7D122172"/>
    <w:rsid w:val="7D603342"/>
    <w:rsid w:val="7DD97789"/>
    <w:rsid w:val="7E4234E1"/>
    <w:rsid w:val="7E870BA6"/>
    <w:rsid w:val="7E944638"/>
    <w:rsid w:val="7EC61482"/>
    <w:rsid w:val="7ED03198"/>
    <w:rsid w:val="7EE2350D"/>
    <w:rsid w:val="7F4C3DE7"/>
    <w:rsid w:val="7F4F42E2"/>
    <w:rsid w:val="7F7C160D"/>
    <w:rsid w:val="7F8813C8"/>
    <w:rsid w:val="7FBA2CE1"/>
    <w:rsid w:val="7FFA50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numPr>
        <w:ilvl w:val="0"/>
        <w:numId w:val="1"/>
      </w:numPr>
      <w:spacing w:before="480" w:after="360" w:line="400" w:lineRule="exact"/>
      <w:outlineLvl w:val="0"/>
    </w:pPr>
    <w:rPr>
      <w:rFonts w:eastAsia="黑体"/>
      <w:bCs/>
      <w:kern w:val="44"/>
      <w:sz w:val="32"/>
      <w:szCs w:val="32"/>
    </w:rPr>
  </w:style>
  <w:style w:type="paragraph" w:styleId="4">
    <w:name w:val="heading 2"/>
    <w:basedOn w:val="1"/>
    <w:next w:val="1"/>
    <w:link w:val="47"/>
    <w:qFormat/>
    <w:uiPriority w:val="0"/>
    <w:pPr>
      <w:keepNext/>
      <w:keepLines/>
      <w:spacing w:before="480" w:after="120" w:line="400" w:lineRule="exact"/>
      <w:outlineLvl w:val="1"/>
    </w:pPr>
    <w:rPr>
      <w:rFonts w:ascii="Arial" w:hAnsi="Arial" w:eastAsia="黑体"/>
      <w:bCs/>
      <w:sz w:val="28"/>
      <w:szCs w:val="28"/>
    </w:rPr>
  </w:style>
  <w:style w:type="paragraph" w:styleId="5">
    <w:name w:val="heading 3"/>
    <w:basedOn w:val="1"/>
    <w:next w:val="1"/>
    <w:link w:val="48"/>
    <w:qFormat/>
    <w:uiPriority w:val="0"/>
    <w:pPr>
      <w:keepNext/>
      <w:keepLines/>
      <w:adjustRightInd w:val="0"/>
      <w:spacing w:before="240" w:after="120" w:line="400" w:lineRule="exact"/>
      <w:ind w:left="900" w:hanging="900"/>
      <w:outlineLvl w:val="2"/>
    </w:pPr>
    <w:rPr>
      <w:rFonts w:eastAsia="黑体"/>
      <w:bCs/>
      <w:sz w:val="24"/>
    </w:rPr>
  </w:style>
  <w:style w:type="paragraph" w:styleId="6">
    <w:name w:val="heading 4"/>
    <w:basedOn w:val="1"/>
    <w:next w:val="1"/>
    <w:qFormat/>
    <w:uiPriority w:val="0"/>
    <w:pPr>
      <w:keepNext/>
      <w:keepLines/>
      <w:adjustRightInd w:val="0"/>
      <w:spacing w:before="280" w:after="290" w:line="376" w:lineRule="atLeast"/>
      <w:ind w:left="1700" w:hanging="425"/>
      <w:textAlignment w:val="baseline"/>
      <w:outlineLvl w:val="3"/>
    </w:pPr>
    <w:rPr>
      <w:rFonts w:ascii="Arial" w:hAnsi="Arial" w:eastAsia="黑体"/>
      <w:b/>
      <w:kern w:val="0"/>
      <w:sz w:val="28"/>
      <w:szCs w:val="20"/>
    </w:rPr>
  </w:style>
  <w:style w:type="paragraph" w:styleId="7">
    <w:name w:val="heading 5"/>
    <w:basedOn w:val="1"/>
    <w:next w:val="1"/>
    <w:qFormat/>
    <w:uiPriority w:val="0"/>
    <w:pPr>
      <w:keepNext/>
      <w:keepLines/>
      <w:adjustRightInd w:val="0"/>
      <w:spacing w:before="280" w:after="290" w:line="376" w:lineRule="atLeast"/>
      <w:ind w:left="2125" w:hanging="425"/>
      <w:textAlignment w:val="baseline"/>
      <w:outlineLvl w:val="4"/>
    </w:pPr>
    <w:rPr>
      <w:b/>
      <w:kern w:val="0"/>
      <w:sz w:val="28"/>
      <w:szCs w:val="20"/>
    </w:rPr>
  </w:style>
  <w:style w:type="paragraph" w:styleId="8">
    <w:name w:val="heading 6"/>
    <w:basedOn w:val="1"/>
    <w:next w:val="1"/>
    <w:qFormat/>
    <w:uiPriority w:val="0"/>
    <w:pPr>
      <w:keepNext/>
      <w:keepLines/>
      <w:adjustRightInd w:val="0"/>
      <w:spacing w:before="240" w:after="64" w:line="320" w:lineRule="atLeast"/>
      <w:ind w:left="2550" w:hanging="425"/>
      <w:textAlignment w:val="baseline"/>
      <w:outlineLvl w:val="5"/>
    </w:pPr>
    <w:rPr>
      <w:rFonts w:ascii="Arial" w:hAnsi="Arial" w:eastAsia="黑体"/>
      <w:b/>
      <w:kern w:val="0"/>
      <w:sz w:val="24"/>
      <w:szCs w:val="20"/>
    </w:rPr>
  </w:style>
  <w:style w:type="paragraph" w:styleId="9">
    <w:name w:val="heading 7"/>
    <w:basedOn w:val="1"/>
    <w:next w:val="1"/>
    <w:qFormat/>
    <w:uiPriority w:val="0"/>
    <w:pPr>
      <w:keepNext/>
      <w:keepLines/>
      <w:adjustRightInd w:val="0"/>
      <w:spacing w:before="240" w:after="64" w:line="320" w:lineRule="atLeast"/>
      <w:ind w:left="2975" w:hanging="425"/>
      <w:textAlignment w:val="baseline"/>
      <w:outlineLvl w:val="6"/>
    </w:pPr>
    <w:rPr>
      <w:b/>
      <w:kern w:val="0"/>
      <w:sz w:val="24"/>
      <w:szCs w:val="20"/>
    </w:rPr>
  </w:style>
  <w:style w:type="paragraph" w:styleId="10">
    <w:name w:val="heading 8"/>
    <w:basedOn w:val="1"/>
    <w:next w:val="1"/>
    <w:qFormat/>
    <w:uiPriority w:val="0"/>
    <w:pPr>
      <w:keepNext/>
      <w:keepLines/>
      <w:adjustRightInd w:val="0"/>
      <w:spacing w:before="240" w:after="64" w:line="320" w:lineRule="atLeast"/>
      <w:ind w:left="3400" w:hanging="425"/>
      <w:textAlignment w:val="baseline"/>
      <w:outlineLvl w:val="7"/>
    </w:pPr>
    <w:rPr>
      <w:rFonts w:ascii="Arial" w:hAnsi="Arial" w:eastAsia="黑体"/>
      <w:kern w:val="0"/>
      <w:sz w:val="24"/>
      <w:szCs w:val="20"/>
    </w:rPr>
  </w:style>
  <w:style w:type="paragraph" w:styleId="11">
    <w:name w:val="heading 9"/>
    <w:basedOn w:val="1"/>
    <w:next w:val="1"/>
    <w:qFormat/>
    <w:uiPriority w:val="0"/>
    <w:pPr>
      <w:keepNext/>
      <w:keepLines/>
      <w:adjustRightInd w:val="0"/>
      <w:spacing w:before="240" w:after="64" w:line="320" w:lineRule="atLeast"/>
      <w:ind w:left="3825" w:hanging="425"/>
      <w:textAlignment w:val="baseline"/>
      <w:outlineLvl w:val="8"/>
    </w:pPr>
    <w:rPr>
      <w:rFonts w:ascii="Arial" w:hAnsi="Arial" w:eastAsia="黑体"/>
      <w:kern w:val="0"/>
      <w:szCs w:val="20"/>
    </w:rPr>
  </w:style>
  <w:style w:type="character" w:default="1" w:styleId="41">
    <w:name w:val="Default Paragraph Font"/>
    <w:semiHidden/>
    <w:uiPriority w:val="0"/>
  </w:style>
  <w:style w:type="table" w:default="1" w:styleId="39">
    <w:name w:val="Normal Table"/>
    <w:semiHidden/>
    <w:uiPriority w:val="0"/>
    <w:tblPr>
      <w:tblStyle w:val="39"/>
      <w:tblCellMar>
        <w:top w:w="0" w:type="dxa"/>
        <w:left w:w="108" w:type="dxa"/>
        <w:bottom w:w="0" w:type="dxa"/>
        <w:right w:w="108" w:type="dxa"/>
      </w:tblCellMar>
    </w:tblPr>
  </w:style>
  <w:style w:type="paragraph" w:customStyle="1" w:styleId="2">
    <w:name w:val="正文2"/>
    <w:basedOn w:val="1"/>
    <w:next w:val="1"/>
    <w:qFormat/>
    <w:uiPriority w:val="0"/>
  </w:style>
  <w:style w:type="paragraph" w:styleId="12">
    <w:name w:val="toc 7"/>
    <w:basedOn w:val="1"/>
    <w:next w:val="1"/>
    <w:uiPriority w:val="0"/>
    <w:pPr>
      <w:ind w:left="1260"/>
      <w:jc w:val="left"/>
    </w:pPr>
    <w:rPr>
      <w:sz w:val="18"/>
      <w:szCs w:val="18"/>
    </w:rPr>
  </w:style>
  <w:style w:type="paragraph" w:styleId="13">
    <w:name w:val="Normal Indent"/>
    <w:basedOn w:val="1"/>
    <w:link w:val="49"/>
    <w:uiPriority w:val="0"/>
    <w:pPr>
      <w:ind w:firstLine="420"/>
    </w:pPr>
    <w:rPr>
      <w:szCs w:val="20"/>
    </w:rPr>
  </w:style>
  <w:style w:type="paragraph" w:styleId="14">
    <w:name w:val="Document Map"/>
    <w:basedOn w:val="1"/>
    <w:semiHidden/>
    <w:uiPriority w:val="0"/>
    <w:pPr>
      <w:shd w:val="clear" w:color="auto" w:fill="000080"/>
    </w:pPr>
  </w:style>
  <w:style w:type="paragraph" w:styleId="15">
    <w:name w:val="annotation text"/>
    <w:basedOn w:val="1"/>
    <w:semiHidden/>
    <w:uiPriority w:val="0"/>
    <w:pPr>
      <w:jc w:val="left"/>
    </w:pPr>
  </w:style>
  <w:style w:type="paragraph" w:styleId="16">
    <w:name w:val="Body Text 3"/>
    <w:basedOn w:val="1"/>
    <w:uiPriority w:val="0"/>
    <w:pPr>
      <w:spacing w:after="120"/>
    </w:pPr>
    <w:rPr>
      <w:sz w:val="16"/>
      <w:szCs w:val="16"/>
    </w:rPr>
  </w:style>
  <w:style w:type="paragraph" w:styleId="17">
    <w:name w:val="Body Text"/>
    <w:basedOn w:val="1"/>
    <w:next w:val="1"/>
    <w:uiPriority w:val="0"/>
    <w:pPr>
      <w:spacing w:after="120"/>
    </w:pPr>
  </w:style>
  <w:style w:type="paragraph" w:styleId="18">
    <w:name w:val="Body Text Indent"/>
    <w:basedOn w:val="1"/>
    <w:uiPriority w:val="0"/>
    <w:pPr>
      <w:spacing w:after="120"/>
      <w:ind w:left="420" w:leftChars="200"/>
    </w:pPr>
  </w:style>
  <w:style w:type="paragraph" w:styleId="19">
    <w:name w:val="Block Text"/>
    <w:basedOn w:val="1"/>
    <w:uiPriority w:val="0"/>
    <w:pPr>
      <w:ind w:right="-1"/>
    </w:pPr>
    <w:rPr>
      <w:rFonts w:ascii="宋体" w:hAnsi="宋体"/>
      <w:sz w:val="28"/>
    </w:rPr>
  </w:style>
  <w:style w:type="paragraph" w:styleId="20">
    <w:name w:val="toc 5"/>
    <w:basedOn w:val="1"/>
    <w:next w:val="1"/>
    <w:uiPriority w:val="0"/>
    <w:pPr>
      <w:ind w:left="840"/>
      <w:jc w:val="left"/>
    </w:pPr>
    <w:rPr>
      <w:sz w:val="18"/>
      <w:szCs w:val="18"/>
    </w:rPr>
  </w:style>
  <w:style w:type="paragraph" w:styleId="21">
    <w:name w:val="toc 3"/>
    <w:basedOn w:val="1"/>
    <w:next w:val="1"/>
    <w:uiPriority w:val="39"/>
    <w:pPr>
      <w:spacing w:line="440" w:lineRule="exact"/>
      <w:ind w:left="400" w:leftChars="400"/>
      <w:jc w:val="left"/>
    </w:pPr>
    <w:rPr>
      <w:iCs/>
      <w:sz w:val="24"/>
    </w:rPr>
  </w:style>
  <w:style w:type="paragraph" w:styleId="22">
    <w:name w:val="Plain Text"/>
    <w:basedOn w:val="1"/>
    <w:uiPriority w:val="0"/>
    <w:rPr>
      <w:rFonts w:ascii="宋体" w:hAnsi="Courier New" w:cs="Courier New"/>
      <w:szCs w:val="21"/>
    </w:rPr>
  </w:style>
  <w:style w:type="paragraph" w:styleId="23">
    <w:name w:val="toc 8"/>
    <w:basedOn w:val="1"/>
    <w:next w:val="1"/>
    <w:uiPriority w:val="0"/>
    <w:pPr>
      <w:ind w:left="1470"/>
      <w:jc w:val="left"/>
    </w:pPr>
    <w:rPr>
      <w:sz w:val="18"/>
      <w:szCs w:val="18"/>
    </w:rPr>
  </w:style>
  <w:style w:type="paragraph" w:styleId="24">
    <w:name w:val="Date"/>
    <w:basedOn w:val="1"/>
    <w:next w:val="1"/>
    <w:uiPriority w:val="0"/>
    <w:pPr>
      <w:ind w:left="100" w:leftChars="2500"/>
    </w:pPr>
  </w:style>
  <w:style w:type="paragraph" w:styleId="25">
    <w:name w:val="Body Text Indent 2"/>
    <w:basedOn w:val="1"/>
    <w:uiPriority w:val="0"/>
    <w:pPr>
      <w:spacing w:line="440" w:lineRule="atLeast"/>
      <w:ind w:firstLine="720" w:firstLineChars="300"/>
    </w:pPr>
    <w:rPr>
      <w:rFonts w:ascii="宋体" w:hAnsi="宋体"/>
      <w:sz w:val="24"/>
    </w:rPr>
  </w:style>
  <w:style w:type="paragraph" w:styleId="26">
    <w:name w:val="Balloon Text"/>
    <w:basedOn w:val="1"/>
    <w:semiHidden/>
    <w:uiPriority w:val="0"/>
    <w:rPr>
      <w:sz w:val="18"/>
      <w:szCs w:val="18"/>
    </w:rPr>
  </w:style>
  <w:style w:type="paragraph" w:styleId="27">
    <w:name w:val="footer"/>
    <w:basedOn w:val="1"/>
    <w:link w:val="50"/>
    <w:uiPriority w:val="0"/>
    <w:pPr>
      <w:tabs>
        <w:tab w:val="center" w:pos="4153"/>
        <w:tab w:val="right" w:pos="8306"/>
      </w:tabs>
      <w:snapToGrid w:val="0"/>
      <w:jc w:val="left"/>
    </w:pPr>
    <w:rPr>
      <w:sz w:val="18"/>
      <w:szCs w:val="18"/>
    </w:rPr>
  </w:style>
  <w:style w:type="paragraph" w:styleId="2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uiPriority w:val="39"/>
    <w:pPr>
      <w:tabs>
        <w:tab w:val="right" w:leader="dot" w:pos="8820"/>
      </w:tabs>
      <w:snapToGrid w:val="0"/>
      <w:spacing w:line="440" w:lineRule="exact"/>
      <w:jc w:val="left"/>
    </w:pPr>
    <w:rPr>
      <w:rFonts w:ascii="Arial" w:hAnsi="Arial" w:eastAsia="黑体"/>
      <w:b/>
      <w:bCs/>
      <w:sz w:val="28"/>
      <w:szCs w:val="28"/>
      <w:lang/>
    </w:rPr>
  </w:style>
  <w:style w:type="paragraph" w:styleId="30">
    <w:name w:val="toc 4"/>
    <w:basedOn w:val="1"/>
    <w:next w:val="1"/>
    <w:uiPriority w:val="0"/>
    <w:pPr>
      <w:ind w:left="630"/>
      <w:jc w:val="left"/>
    </w:pPr>
    <w:rPr>
      <w:sz w:val="18"/>
      <w:szCs w:val="18"/>
    </w:rPr>
  </w:style>
  <w:style w:type="paragraph" w:styleId="31">
    <w:name w:val="toc 6"/>
    <w:basedOn w:val="1"/>
    <w:next w:val="1"/>
    <w:uiPriority w:val="0"/>
    <w:pPr>
      <w:ind w:left="1050"/>
      <w:jc w:val="left"/>
    </w:pPr>
    <w:rPr>
      <w:sz w:val="18"/>
      <w:szCs w:val="18"/>
    </w:rPr>
  </w:style>
  <w:style w:type="paragraph" w:styleId="32">
    <w:name w:val="Body Text Indent 3"/>
    <w:basedOn w:val="1"/>
    <w:uiPriority w:val="0"/>
    <w:pPr>
      <w:spacing w:after="120"/>
      <w:ind w:left="420" w:leftChars="200"/>
    </w:pPr>
    <w:rPr>
      <w:sz w:val="16"/>
      <w:szCs w:val="16"/>
    </w:rPr>
  </w:style>
  <w:style w:type="paragraph" w:styleId="33">
    <w:name w:val="toc 2"/>
    <w:basedOn w:val="1"/>
    <w:next w:val="1"/>
    <w:uiPriority w:val="39"/>
    <w:pPr>
      <w:spacing w:line="440" w:lineRule="exact"/>
      <w:ind w:left="200" w:leftChars="200"/>
      <w:jc w:val="left"/>
    </w:pPr>
    <w:rPr>
      <w:b/>
      <w:smallCaps/>
      <w:sz w:val="24"/>
      <w:szCs w:val="20"/>
    </w:rPr>
  </w:style>
  <w:style w:type="paragraph" w:styleId="34">
    <w:name w:val="toc 9"/>
    <w:basedOn w:val="1"/>
    <w:next w:val="1"/>
    <w:uiPriority w:val="0"/>
    <w:pPr>
      <w:ind w:left="1680"/>
      <w:jc w:val="left"/>
    </w:pPr>
    <w:rPr>
      <w:sz w:val="18"/>
      <w:szCs w:val="18"/>
    </w:rPr>
  </w:style>
  <w:style w:type="paragraph" w:styleId="3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宋体"/>
      <w:kern w:val="0"/>
      <w:sz w:val="20"/>
      <w:szCs w:val="20"/>
    </w:rPr>
  </w:style>
  <w:style w:type="paragraph" w:styleId="36">
    <w:name w:val="Normal (Web)"/>
    <w:basedOn w:val="1"/>
    <w:uiPriority w:val="0"/>
    <w:pPr>
      <w:widowControl/>
      <w:spacing w:before="100" w:beforeAutospacing="1" w:after="100" w:afterAutospacing="1"/>
      <w:jc w:val="left"/>
    </w:pPr>
    <w:rPr>
      <w:rFonts w:ascii="Arial Unicode MS" w:hAnsi="Arial Unicode MS" w:eastAsia="Arial Unicode MS" w:cs="楷体_GB2312"/>
      <w:kern w:val="0"/>
      <w:sz w:val="24"/>
    </w:rPr>
  </w:style>
  <w:style w:type="paragraph" w:styleId="37">
    <w:name w:val="index 1"/>
    <w:basedOn w:val="1"/>
    <w:next w:val="1"/>
    <w:uiPriority w:val="0"/>
    <w:pPr>
      <w:spacing w:line="440" w:lineRule="exact"/>
      <w:jc w:val="center"/>
    </w:pPr>
    <w:rPr>
      <w:color w:val="FF6600"/>
      <w:sz w:val="24"/>
    </w:rPr>
  </w:style>
  <w:style w:type="paragraph" w:styleId="38">
    <w:name w:val="annotation subject"/>
    <w:basedOn w:val="15"/>
    <w:next w:val="15"/>
    <w:semiHidden/>
    <w:uiPriority w:val="0"/>
    <w:rPr>
      <w:b/>
      <w:bCs/>
    </w:rPr>
  </w:style>
  <w:style w:type="table" w:styleId="40">
    <w:name w:val="Table Grid"/>
    <w:basedOn w:val="39"/>
    <w:uiPriority w:val="59"/>
    <w:pPr>
      <w:widowControl w:val="0"/>
      <w:jc w:val="both"/>
    </w:p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uiPriority w:val="0"/>
  </w:style>
  <w:style w:type="character" w:styleId="44">
    <w:name w:val="FollowedHyperlink"/>
    <w:uiPriority w:val="0"/>
    <w:rPr>
      <w:color w:val="555555"/>
      <w:sz w:val="18"/>
      <w:szCs w:val="18"/>
      <w:u w:val="none"/>
    </w:rPr>
  </w:style>
  <w:style w:type="character" w:styleId="45">
    <w:name w:val="Hyperlink"/>
    <w:uiPriority w:val="99"/>
    <w:rPr>
      <w:color w:val="0368A8"/>
      <w:u w:val="none"/>
    </w:rPr>
  </w:style>
  <w:style w:type="character" w:styleId="46">
    <w:name w:val="annotation reference"/>
    <w:uiPriority w:val="0"/>
    <w:rPr>
      <w:sz w:val="21"/>
      <w:szCs w:val="21"/>
    </w:rPr>
  </w:style>
  <w:style w:type="character" w:customStyle="1" w:styleId="47">
    <w:name w:val="标题 2 字符"/>
    <w:link w:val="4"/>
    <w:uiPriority w:val="0"/>
    <w:rPr>
      <w:rFonts w:ascii="Arial" w:hAnsi="Arial" w:eastAsia="黑体"/>
      <w:bCs/>
      <w:kern w:val="2"/>
      <w:sz w:val="28"/>
      <w:szCs w:val="28"/>
      <w:lang w:val="en-US" w:eastAsia="zh-CN" w:bidi="ar-SA"/>
    </w:rPr>
  </w:style>
  <w:style w:type="character" w:customStyle="1" w:styleId="48">
    <w:name w:val="标题 3 字符"/>
    <w:link w:val="5"/>
    <w:uiPriority w:val="0"/>
    <w:rPr>
      <w:rFonts w:eastAsia="黑体"/>
      <w:bCs/>
      <w:kern w:val="2"/>
      <w:sz w:val="24"/>
      <w:szCs w:val="24"/>
      <w:lang w:val="en-US" w:eastAsia="zh-CN" w:bidi="ar-SA"/>
    </w:rPr>
  </w:style>
  <w:style w:type="character" w:customStyle="1" w:styleId="49">
    <w:name w:val="正文缩进 字符"/>
    <w:link w:val="13"/>
    <w:uiPriority w:val="0"/>
    <w:rPr>
      <w:rFonts w:eastAsia="宋体"/>
      <w:kern w:val="2"/>
      <w:sz w:val="21"/>
      <w:lang w:val="en-US" w:eastAsia="zh-CN" w:bidi="ar-SA"/>
    </w:rPr>
  </w:style>
  <w:style w:type="character" w:customStyle="1" w:styleId="50">
    <w:name w:val="页脚 字符"/>
    <w:link w:val="27"/>
    <w:uiPriority w:val="0"/>
    <w:rPr>
      <w:rFonts w:eastAsia="宋体"/>
      <w:kern w:val="2"/>
      <w:sz w:val="18"/>
      <w:szCs w:val="18"/>
      <w:lang w:val="en-US" w:eastAsia="zh-CN" w:bidi="ar-SA"/>
    </w:rPr>
  </w:style>
  <w:style w:type="character" w:customStyle="1" w:styleId="51">
    <w:name w:val="c1"/>
    <w:uiPriority w:val="0"/>
    <w:rPr>
      <w:sz w:val="20"/>
      <w:szCs w:val="20"/>
    </w:rPr>
  </w:style>
  <w:style w:type="character" w:customStyle="1" w:styleId="52">
    <w:name w:val="投标文件四级标题 Char"/>
    <w:link w:val="53"/>
    <w:uiPriority w:val="0"/>
    <w:rPr>
      <w:rFonts w:eastAsia="宋体"/>
      <w:kern w:val="2"/>
      <w:sz w:val="21"/>
      <w:szCs w:val="24"/>
      <w:lang w:val="en-US" w:eastAsia="zh-CN" w:bidi="ar-SA"/>
    </w:rPr>
  </w:style>
  <w:style w:type="paragraph" w:customStyle="1" w:styleId="53">
    <w:name w:val="投标文件四级标题"/>
    <w:basedOn w:val="1"/>
    <w:link w:val="52"/>
    <w:uiPriority w:val="0"/>
    <w:pPr>
      <w:tabs>
        <w:tab w:val="left" w:pos="1080"/>
      </w:tabs>
      <w:ind w:left="1080" w:hanging="1080"/>
    </w:pPr>
  </w:style>
  <w:style w:type="character" w:customStyle="1" w:styleId="54">
    <w:name w:val="font11"/>
    <w:uiPriority w:val="0"/>
    <w:rPr>
      <w:rFonts w:hint="eastAsia" w:ascii="宋体" w:hAnsi="宋体" w:eastAsia="宋体"/>
      <w:color w:val="000000"/>
      <w:sz w:val="24"/>
      <w:szCs w:val="24"/>
      <w:u w:val="none"/>
    </w:rPr>
  </w:style>
  <w:style w:type="character" w:customStyle="1" w:styleId="55">
    <w:name w:val="b1481"/>
    <w:uiPriority w:val="0"/>
    <w:rPr>
      <w:sz w:val="21"/>
      <w:szCs w:val="21"/>
      <w:u w:val="none"/>
    </w:rPr>
  </w:style>
  <w:style w:type="character" w:customStyle="1" w:styleId="56">
    <w:name w:val="font21"/>
    <w:uiPriority w:val="0"/>
    <w:rPr>
      <w:rFonts w:hint="default" w:ascii="Times New Roman" w:hAnsi="Times New Roman" w:cs="Times New Roman"/>
      <w:color w:val="000000"/>
      <w:sz w:val="24"/>
      <w:szCs w:val="24"/>
      <w:u w:val="none"/>
    </w:rPr>
  </w:style>
  <w:style w:type="character" w:customStyle="1" w:styleId="57">
    <w:name w:val="投标文件三级标题 Char"/>
    <w:link w:val="58"/>
    <w:uiPriority w:val="0"/>
    <w:rPr>
      <w:rFonts w:eastAsia="宋体"/>
      <w:kern w:val="2"/>
      <w:sz w:val="21"/>
      <w:szCs w:val="24"/>
      <w:lang w:val="en-US" w:eastAsia="zh-CN" w:bidi="ar-SA"/>
    </w:rPr>
  </w:style>
  <w:style w:type="paragraph" w:customStyle="1" w:styleId="58">
    <w:name w:val="投标文件三级标题"/>
    <w:basedOn w:val="1"/>
    <w:link w:val="57"/>
    <w:uiPriority w:val="0"/>
  </w:style>
  <w:style w:type="character" w:customStyle="1" w:styleId="59">
    <w:name w:val="font61"/>
    <w:uiPriority w:val="0"/>
    <w:rPr>
      <w:rFonts w:hint="default" w:ascii="Times New Roman" w:hAnsi="Times New Roman" w:cs="Times New Roman"/>
      <w:color w:val="000000"/>
      <w:sz w:val="24"/>
      <w:szCs w:val="24"/>
      <w:u w:val="none"/>
    </w:rPr>
  </w:style>
  <w:style w:type="character" w:customStyle="1" w:styleId="60">
    <w:name w:val="投标文件正文 Char"/>
    <w:uiPriority w:val="0"/>
    <w:rPr>
      <w:rFonts w:ascii="Arial" w:hAnsi="Arial" w:eastAsia="宋体"/>
      <w:color w:val="000000"/>
      <w:kern w:val="2"/>
      <w:sz w:val="24"/>
      <w:lang w:val="en-US" w:eastAsia="zh-CN" w:bidi="ar-SA"/>
    </w:rPr>
  </w:style>
  <w:style w:type="character" w:customStyle="1" w:styleId="61">
    <w:name w:val="投标文件一级标题 Char"/>
    <w:link w:val="62"/>
    <w:uiPriority w:val="0"/>
    <w:rPr>
      <w:rFonts w:ascii="Arial" w:hAnsi="Arial" w:eastAsia="黑体"/>
      <w:bCs/>
      <w:kern w:val="44"/>
      <w:sz w:val="32"/>
      <w:szCs w:val="32"/>
      <w:lang w:val="en-US" w:eastAsia="zh-CN" w:bidi="ar-SA"/>
    </w:rPr>
  </w:style>
  <w:style w:type="paragraph" w:customStyle="1" w:styleId="62">
    <w:name w:val="投标文件一级标题"/>
    <w:basedOn w:val="3"/>
    <w:link w:val="61"/>
    <w:uiPriority w:val="0"/>
    <w:pPr>
      <w:pageBreakBefore/>
      <w:numPr>
        <w:ilvl w:val="0"/>
        <w:numId w:val="2"/>
      </w:numPr>
      <w:jc w:val="center"/>
    </w:pPr>
    <w:rPr>
      <w:rFonts w:ascii="Arial" w:hAnsi="Arial"/>
    </w:rPr>
  </w:style>
  <w:style w:type="character" w:customStyle="1" w:styleId="63">
    <w:name w:val="font71"/>
    <w:uiPriority w:val="0"/>
    <w:rPr>
      <w:rFonts w:hint="default" w:ascii="Times New Roman" w:hAnsi="Times New Roman" w:cs="Times New Roman"/>
      <w:color w:val="000000"/>
      <w:sz w:val="24"/>
      <w:szCs w:val="24"/>
      <w:u w:val="none"/>
      <w:vertAlign w:val="subscript"/>
    </w:rPr>
  </w:style>
  <w:style w:type="character" w:customStyle="1" w:styleId="64">
    <w:name w:val="font31"/>
    <w:uiPriority w:val="0"/>
    <w:rPr>
      <w:rFonts w:hint="default" w:ascii="Times New Roman" w:hAnsi="Times New Roman" w:cs="Times New Roman"/>
      <w:color w:val="000000"/>
      <w:sz w:val="24"/>
      <w:szCs w:val="24"/>
      <w:u w:val="none"/>
      <w:vertAlign w:val="superscript"/>
    </w:rPr>
  </w:style>
  <w:style w:type="character" w:customStyle="1" w:styleId="65">
    <w:name w:val="投标文件正文 Char Char"/>
    <w:link w:val="66"/>
    <w:uiPriority w:val="0"/>
    <w:rPr>
      <w:rFonts w:ascii="Arial" w:hAnsi="Arial" w:eastAsia="宋体"/>
      <w:kern w:val="2"/>
      <w:sz w:val="24"/>
      <w:szCs w:val="24"/>
      <w:lang w:val="en-US" w:eastAsia="zh-CN" w:bidi="ar-SA"/>
    </w:rPr>
  </w:style>
  <w:style w:type="paragraph" w:customStyle="1" w:styleId="66">
    <w:name w:val="投标文件正文"/>
    <w:basedOn w:val="1"/>
    <w:link w:val="65"/>
    <w:uiPriority w:val="0"/>
    <w:pPr>
      <w:spacing w:line="400" w:lineRule="exact"/>
      <w:ind w:firstLine="480" w:firstLineChars="200"/>
    </w:pPr>
    <w:rPr>
      <w:rFonts w:ascii="Arial" w:hAnsi="Arial"/>
      <w:sz w:val="24"/>
    </w:rPr>
  </w:style>
  <w:style w:type="character" w:customStyle="1" w:styleId="67">
    <w:name w:val="apple-style-span"/>
    <w:basedOn w:val="41"/>
    <w:uiPriority w:val="0"/>
  </w:style>
  <w:style w:type="character" w:customStyle="1" w:styleId="68">
    <w:name w:val="dash6b63_6587__char1"/>
    <w:uiPriority w:val="0"/>
    <w:rPr>
      <w:rFonts w:hint="default" w:ascii="Times New Roman" w:hAnsi="Times New Roman" w:cs="Times New Roman"/>
      <w:sz w:val="20"/>
      <w:szCs w:val="20"/>
      <w:u w:val="none"/>
    </w:rPr>
  </w:style>
  <w:style w:type="paragraph" w:customStyle="1" w:styleId="69">
    <w:name w:val="Char1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font6"/>
    <w:basedOn w:val="1"/>
    <w:uiPriority w:val="0"/>
    <w:pPr>
      <w:widowControl/>
      <w:spacing w:before="100" w:beforeAutospacing="1" w:after="100" w:afterAutospacing="1"/>
      <w:jc w:val="left"/>
    </w:pPr>
    <w:rPr>
      <w:rFonts w:ascii="宋体" w:hAnsi="宋体" w:cs="宋体"/>
      <w:kern w:val="0"/>
      <w:sz w:val="32"/>
      <w:szCs w:val="32"/>
    </w:rPr>
  </w:style>
  <w:style w:type="paragraph" w:customStyle="1" w:styleId="71">
    <w:name w:val="font0"/>
    <w:basedOn w:val="1"/>
    <w:uiPriority w:val="0"/>
    <w:pPr>
      <w:widowControl/>
      <w:spacing w:before="100" w:beforeAutospacing="1" w:after="100" w:afterAutospacing="1"/>
      <w:jc w:val="left"/>
    </w:pPr>
    <w:rPr>
      <w:rFonts w:ascii="宋体" w:hAnsi="宋体" w:cs="宋体"/>
      <w:kern w:val="0"/>
      <w:sz w:val="24"/>
    </w:rPr>
  </w:style>
  <w:style w:type="paragraph" w:customStyle="1" w:styleId="72">
    <w:name w:val="p15"/>
    <w:basedOn w:val="1"/>
    <w:uiPriority w:val="0"/>
    <w:pPr>
      <w:widowControl/>
    </w:pPr>
    <w:rPr>
      <w:kern w:val="0"/>
      <w:sz w:val="24"/>
    </w:rPr>
  </w:style>
  <w:style w:type="paragraph" w:customStyle="1" w:styleId="73">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7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75">
    <w:name w:val="xl2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8"/>
      <w:szCs w:val="28"/>
    </w:rPr>
  </w:style>
  <w:style w:type="paragraph" w:customStyle="1" w:styleId="76">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77">
    <w:name w:val="xl40"/>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78">
    <w:name w:val="p16"/>
    <w:basedOn w:val="1"/>
    <w:uiPriority w:val="0"/>
    <w:pPr>
      <w:widowControl/>
      <w:snapToGrid w:val="0"/>
      <w:spacing w:line="360" w:lineRule="auto"/>
      <w:ind w:firstLine="567"/>
    </w:pPr>
    <w:rPr>
      <w:kern w:val="0"/>
      <w:sz w:val="28"/>
      <w:szCs w:val="28"/>
    </w:rPr>
  </w:style>
  <w:style w:type="paragraph" w:customStyle="1" w:styleId="79">
    <w:name w:val="xl30"/>
    <w:basedOn w:val="1"/>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0">
    <w:name w:val="xl41"/>
    <w:basedOn w:val="1"/>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32"/>
      <w:szCs w:val="32"/>
    </w:rPr>
  </w:style>
  <w:style w:type="paragraph" w:customStyle="1" w:styleId="81">
    <w:name w:val="wg"/>
    <w:basedOn w:val="1"/>
    <w:uiPriority w:val="0"/>
    <w:rPr>
      <w:sz w:val="28"/>
      <w:szCs w:val="20"/>
    </w:rPr>
  </w:style>
  <w:style w:type="paragraph" w:customStyle="1" w:styleId="82">
    <w:name w:val="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83">
    <w:name w:val="样式 标题 2 + 行距: 多倍行距 1.73 字行"/>
    <w:basedOn w:val="4"/>
    <w:uiPriority w:val="0"/>
    <w:pPr>
      <w:adjustRightInd w:val="0"/>
      <w:spacing w:before="240" w:line="560" w:lineRule="exact"/>
    </w:pPr>
    <w:rPr>
      <w:rFonts w:ascii="Times New Roman" w:hAnsi="Times New Roman" w:eastAsia="宋体"/>
      <w:szCs w:val="20"/>
    </w:rPr>
  </w:style>
  <w:style w:type="paragraph" w:customStyle="1" w:styleId="84">
    <w:name w:val="正文目录 + 首行缩进:  2 字符 + 首行缩进:  2 字符 + 首行缩进:  2 字符"/>
    <w:basedOn w:val="1"/>
    <w:qFormat/>
    <w:uiPriority w:val="0"/>
    <w:pPr>
      <w:spacing w:line="360" w:lineRule="auto"/>
      <w:jc w:val="center"/>
    </w:pPr>
    <w:rPr>
      <w:rFonts w:ascii="仿宋_GB2312" w:hAnsi="宋体" w:eastAsia="仿宋_GB2312" w:cs="宋体"/>
      <w:b/>
      <w:kern w:val="0"/>
      <w:sz w:val="36"/>
      <w:szCs w:val="20"/>
    </w:rPr>
  </w:style>
  <w:style w:type="paragraph" w:customStyle="1" w:styleId="85">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6">
    <w:name w:val="Char1"/>
    <w:basedOn w:val="1"/>
    <w:uiPriority w:val="0"/>
    <w:rPr>
      <w:szCs w:val="20"/>
    </w:rPr>
  </w:style>
  <w:style w:type="paragraph" w:customStyle="1" w:styleId="87">
    <w:name w:val="Char Char Char Char"/>
    <w:basedOn w:val="1"/>
    <w:uiPriority w:val="0"/>
  </w:style>
  <w:style w:type="paragraph" w:customStyle="1" w:styleId="88">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8"/>
    </w:rPr>
  </w:style>
  <w:style w:type="paragraph" w:customStyle="1" w:styleId="89">
    <w:name w:val="Char"/>
    <w:basedOn w:val="1"/>
    <w:next w:val="1"/>
    <w:uiPriority w:val="0"/>
    <w:pPr>
      <w:spacing w:line="240" w:lineRule="atLeast"/>
      <w:ind w:left="420" w:firstLine="420"/>
      <w:jc w:val="left"/>
    </w:pPr>
  </w:style>
  <w:style w:type="paragraph" w:customStyle="1" w:styleId="90">
    <w:name w:val="样式 正文 + 首行缩进:  2 字符 Char"/>
    <w:basedOn w:val="1"/>
    <w:qFormat/>
    <w:uiPriority w:val="0"/>
    <w:pPr>
      <w:spacing w:line="360" w:lineRule="auto"/>
      <w:ind w:firstLine="200" w:firstLineChars="200"/>
    </w:pPr>
    <w:rPr>
      <w:rFonts w:ascii="仿宋_GB2312" w:hAnsi="宋体" w:eastAsia="仿宋_GB2312" w:cs="宋体"/>
      <w:kern w:val="0"/>
      <w:sz w:val="24"/>
      <w:szCs w:val="20"/>
    </w:rPr>
  </w:style>
  <w:style w:type="paragraph" w:customStyle="1" w:styleId="91">
    <w:name w:val="List Paragraph"/>
    <w:basedOn w:val="1"/>
    <w:uiPriority w:val="0"/>
    <w:pPr>
      <w:ind w:firstLine="420" w:firstLineChars="200"/>
    </w:pPr>
    <w:rPr>
      <w:rFonts w:ascii="Calibri" w:hAnsi="Calibri"/>
      <w:szCs w:val="22"/>
    </w:rPr>
  </w:style>
  <w:style w:type="paragraph" w:customStyle="1" w:styleId="9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93">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94">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95">
    <w:name w:val="xl42"/>
    <w:basedOn w:val="1"/>
    <w:uiPriority w:val="0"/>
    <w:pPr>
      <w:widowControl/>
      <w:pBdr>
        <w:top w:val="single" w:color="auto" w:sz="4" w:space="0"/>
      </w:pBdr>
      <w:spacing w:before="100" w:beforeAutospacing="1" w:after="100" w:afterAutospacing="1"/>
      <w:jc w:val="center"/>
    </w:pPr>
    <w:rPr>
      <w:rFonts w:ascii="宋体" w:hAnsi="宋体" w:cs="宋体"/>
      <w:kern w:val="0"/>
      <w:sz w:val="32"/>
      <w:szCs w:val="32"/>
    </w:rPr>
  </w:style>
  <w:style w:type="paragraph" w:customStyle="1" w:styleId="96">
    <w:name w:val="样式 三号"/>
    <w:basedOn w:val="1"/>
    <w:uiPriority w:val="0"/>
    <w:rPr>
      <w:rFonts w:eastAsia="仿宋_GB2312"/>
      <w:sz w:val="32"/>
      <w:szCs w:val="32"/>
    </w:rPr>
  </w:style>
  <w:style w:type="paragraph" w:customStyle="1" w:styleId="97">
    <w:name w:val=" Char"/>
    <w:basedOn w:val="1"/>
    <w:uiPriority w:val="0"/>
  </w:style>
  <w:style w:type="paragraph" w:customStyle="1" w:styleId="98">
    <w:name w:val="6.表与图题标准"/>
    <w:basedOn w:val="1"/>
    <w:uiPriority w:val="0"/>
    <w:pPr>
      <w:spacing w:line="360" w:lineRule="auto"/>
      <w:ind w:firstLine="422" w:firstLineChars="200"/>
      <w:jc w:val="center"/>
    </w:pPr>
    <w:rPr>
      <w:rFonts w:ascii="Calibri" w:hAnsi="Calibri"/>
      <w:b/>
      <w:szCs w:val="21"/>
    </w:rPr>
  </w:style>
  <w:style w:type="paragraph" w:customStyle="1" w:styleId="99">
    <w:name w:val="样式 标题 3 + (西文) Arial (中文) 黑体 四号 非加粗 蓝色"/>
    <w:basedOn w:val="5"/>
    <w:uiPriority w:val="0"/>
    <w:pPr>
      <w:spacing w:line="440" w:lineRule="exact"/>
    </w:pPr>
    <w:rPr>
      <w:rFonts w:ascii="Arial" w:hAnsi="Arial"/>
      <w:b/>
      <w:bCs w:val="0"/>
      <w:color w:val="0000FF"/>
      <w:sz w:val="28"/>
    </w:rPr>
  </w:style>
  <w:style w:type="paragraph" w:customStyle="1" w:styleId="100">
    <w:name w:val="xl39"/>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101">
    <w:name w:val="point"/>
    <w:basedOn w:val="1"/>
    <w:uiPriority w:val="0"/>
    <w:pPr>
      <w:widowControl/>
      <w:overflowPunct w:val="0"/>
      <w:autoSpaceDE w:val="0"/>
      <w:autoSpaceDN w:val="0"/>
      <w:adjustRightInd w:val="0"/>
      <w:spacing w:before="40" w:after="40"/>
      <w:ind w:left="720" w:hanging="274"/>
      <w:textAlignment w:val="baseline"/>
    </w:pPr>
    <w:rPr>
      <w:rFonts w:ascii="仿宋体" w:eastAsia="仿宋体"/>
      <w:spacing w:val="-2"/>
      <w:kern w:val="0"/>
      <w:position w:val="-2"/>
      <w:sz w:val="24"/>
      <w:szCs w:val="20"/>
      <w:lang/>
    </w:rPr>
  </w:style>
  <w:style w:type="paragraph" w:customStyle="1" w:styleId="102">
    <w:name w:val="p17"/>
    <w:basedOn w:val="1"/>
    <w:uiPriority w:val="0"/>
    <w:pPr>
      <w:widowControl/>
      <w:jc w:val="left"/>
    </w:pPr>
    <w:rPr>
      <w:rFonts w:ascii="宋体" w:hAnsi="宋体" w:cs="宋体"/>
      <w:kern w:val="0"/>
      <w:sz w:val="22"/>
      <w:szCs w:val="22"/>
    </w:rPr>
  </w:style>
  <w:style w:type="paragraph" w:customStyle="1" w:styleId="103">
    <w:name w:val="xl36"/>
    <w:basedOn w:val="1"/>
    <w:uiPriority w:val="0"/>
    <w:pPr>
      <w:widowControl/>
      <w:pBdr>
        <w:bottom w:val="single" w:color="auto" w:sz="4" w:space="0"/>
      </w:pBdr>
      <w:spacing w:before="100" w:beforeAutospacing="1" w:after="100" w:afterAutospacing="1"/>
      <w:jc w:val="center"/>
    </w:pPr>
    <w:rPr>
      <w:rFonts w:ascii="宋体" w:hAnsi="宋体" w:cs="宋体"/>
      <w:kern w:val="0"/>
      <w:sz w:val="36"/>
      <w:szCs w:val="36"/>
    </w:rPr>
  </w:style>
  <w:style w:type="paragraph" w:customStyle="1" w:styleId="104">
    <w:name w:val="p0"/>
    <w:basedOn w:val="1"/>
    <w:uiPriority w:val="0"/>
    <w:pPr>
      <w:widowControl/>
      <w:snapToGrid w:val="0"/>
      <w:spacing w:before="120" w:after="120" w:line="500" w:lineRule="atLeast"/>
      <w:ind w:firstLine="420"/>
    </w:pPr>
    <w:rPr>
      <w:rFonts w:ascii="Arial" w:hAnsi="Arial" w:cs="Arial"/>
      <w:kern w:val="0"/>
      <w:sz w:val="28"/>
      <w:szCs w:val="28"/>
    </w:rPr>
  </w:style>
  <w:style w:type="paragraph" w:customStyle="1" w:styleId="105">
    <w:name w:val="默认段落字体 Para Char Char Char Char"/>
    <w:basedOn w:val="1"/>
    <w:uiPriority w:val="0"/>
    <w:rPr>
      <w:rFonts w:ascii="宋体"/>
      <w:color w:val="000000"/>
      <w:sz w:val="24"/>
      <w:szCs w:val="20"/>
    </w:rPr>
  </w:style>
  <w:style w:type="paragraph" w:customStyle="1" w:styleId="106">
    <w:name w:val=" Char Char Char Char"/>
    <w:basedOn w:val="1"/>
    <w:uiPriority w:val="0"/>
  </w:style>
  <w:style w:type="paragraph" w:customStyle="1" w:styleId="107">
    <w:name w:val="4.正文标准"/>
    <w:basedOn w:val="1"/>
    <w:uiPriority w:val="0"/>
    <w:pPr>
      <w:spacing w:line="360" w:lineRule="auto"/>
      <w:ind w:firstLine="480" w:firstLineChars="200"/>
    </w:pPr>
    <w:rPr>
      <w:rFonts w:ascii="Calibri" w:hAnsi="Calibri"/>
      <w:sz w:val="24"/>
    </w:rPr>
  </w:style>
  <w:style w:type="paragraph" w:customStyle="1" w:styleId="108">
    <w:name w:val="默认段落字体 Para Char"/>
    <w:basedOn w:val="1"/>
    <w:uiPriority w:val="0"/>
  </w:style>
  <w:style w:type="paragraph" w:customStyle="1" w:styleId="10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8"/>
      <w:szCs w:val="28"/>
    </w:rPr>
  </w:style>
  <w:style w:type="paragraph" w:customStyle="1" w:styleId="11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11">
    <w:name w:val="xl38"/>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12">
    <w:name w:val=" Char Char Char1 Char Char Char Char Char Char Char"/>
    <w:basedOn w:val="1"/>
    <w:uiPriority w:val="0"/>
    <w:rPr>
      <w:rFonts w:ascii="Tahoma" w:hAnsi="Tahoma"/>
      <w:sz w:val="30"/>
      <w:szCs w:val="30"/>
    </w:rPr>
  </w:style>
  <w:style w:type="paragraph" w:customStyle="1" w:styleId="113">
    <w:name w:val="xl37"/>
    <w:basedOn w:val="1"/>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32"/>
      <w:szCs w:val="32"/>
    </w:rPr>
  </w:style>
  <w:style w:type="paragraph" w:customStyle="1" w:styleId="114">
    <w:name w:val="xl2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115">
    <w:name w:val="正文首缩"/>
    <w:basedOn w:val="1"/>
    <w:next w:val="6"/>
    <w:uiPriority w:val="0"/>
    <w:pPr>
      <w:keepNext/>
      <w:adjustRightInd w:val="0"/>
      <w:spacing w:line="300" w:lineRule="auto"/>
      <w:ind w:firstLine="556"/>
    </w:pPr>
    <w:rPr>
      <w:kern w:val="0"/>
      <w:sz w:val="28"/>
      <w:szCs w:val="20"/>
    </w:rPr>
  </w:style>
  <w:style w:type="paragraph" w:customStyle="1" w:styleId="116">
    <w:name w:val="表格文字"/>
    <w:basedOn w:val="1"/>
    <w:uiPriority w:val="0"/>
    <w:pPr>
      <w:spacing w:line="280" w:lineRule="exact"/>
      <w:jc w:val="center"/>
    </w:pPr>
  </w:style>
  <w:style w:type="paragraph" w:customStyle="1" w:styleId="117">
    <w:name w:val="投标表格表头格式"/>
    <w:basedOn w:val="1"/>
    <w:uiPriority w:val="0"/>
    <w:pPr>
      <w:spacing w:before="120" w:after="120" w:line="400" w:lineRule="exact"/>
      <w:ind w:right="34" w:firstLine="200" w:firstLineChars="200"/>
      <w:jc w:val="center"/>
    </w:pPr>
    <w:rPr>
      <w:rFonts w:ascii="Arial" w:hAnsi="Arial" w:eastAsia="黑体" w:cs="Arial"/>
      <w:color w:val="000000"/>
      <w:spacing w:val="10"/>
      <w:sz w:val="24"/>
    </w:rPr>
  </w:style>
  <w:style w:type="paragraph" w:customStyle="1" w:styleId="118">
    <w:name w:val=" Char Char Char Char Char Char Char Char Char Char Char Char Char Char Char Char"/>
    <w:basedOn w:val="14"/>
    <w:semiHidden/>
    <w:uiPriority w:val="0"/>
    <w:pPr>
      <w:spacing w:line="360" w:lineRule="auto"/>
      <w:ind w:firstLine="200" w:firstLineChars="200"/>
    </w:pPr>
    <w:rPr>
      <w:rFonts w:ascii="Tahoma" w:hAnsi="Tahoma"/>
      <w:sz w:val="24"/>
    </w:rPr>
  </w:style>
  <w:style w:type="paragraph" w:customStyle="1" w:styleId="119">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32"/>
      <w:szCs w:val="32"/>
    </w:rPr>
  </w:style>
  <w:style w:type="paragraph" w:customStyle="1" w:styleId="120">
    <w:name w:val="p18"/>
    <w:basedOn w:val="1"/>
    <w:uiPriority w:val="0"/>
    <w:pPr>
      <w:widowControl/>
      <w:snapToGrid w:val="0"/>
      <w:spacing w:before="40" w:after="40"/>
      <w:jc w:val="center"/>
    </w:pPr>
    <w:rPr>
      <w:kern w:val="0"/>
      <w:szCs w:val="21"/>
    </w:rPr>
  </w:style>
  <w:style w:type="paragraph" w:customStyle="1" w:styleId="121">
    <w:name w:val=" Char Char Char Char Char2 Char"/>
    <w:basedOn w:val="1"/>
    <w:uiPriority w:val="0"/>
    <w:pPr>
      <w:adjustRightInd w:val="0"/>
      <w:snapToGrid w:val="0"/>
      <w:spacing w:line="360" w:lineRule="auto"/>
      <w:ind w:firstLine="200" w:firstLineChars="200"/>
    </w:pPr>
    <w:rPr>
      <w:szCs w:val="20"/>
    </w:rPr>
  </w:style>
  <w:style w:type="paragraph" w:customStyle="1" w:styleId="122">
    <w:name w:val="投标文件二级标题"/>
    <w:basedOn w:val="1"/>
    <w:uiPriority w:val="0"/>
  </w:style>
  <w:style w:type="paragraph" w:customStyle="1" w:styleId="123">
    <w:name w:val="Char Char Char"/>
    <w:basedOn w:val="14"/>
    <w:next w:val="5"/>
    <w:uiPriority w:val="0"/>
    <w:pPr>
      <w:adjustRightInd w:val="0"/>
      <w:spacing w:line="600" w:lineRule="exact"/>
      <w:jc w:val="center"/>
      <w:outlineLvl w:val="2"/>
    </w:pPr>
    <w:rPr>
      <w:szCs w:val="20"/>
    </w:rPr>
  </w:style>
  <w:style w:type="paragraph" w:customStyle="1" w:styleId="124">
    <w:name w:val="xl43"/>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光盘制作联盟</Company>
  <Pages>25</Pages>
  <Words>1365</Words>
  <Characters>7785</Characters>
  <Lines>64</Lines>
  <Paragraphs>18</Paragraphs>
  <TotalTime>1</TotalTime>
  <ScaleCrop>false</ScaleCrop>
  <LinksUpToDate>false</LinksUpToDate>
  <CharactersWithSpaces>9132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2014-09-05T10:35:00Z</dcterms:created>
  <dc:creator>V9000</dc:creator>
  <cp:lastModifiedBy>YuKinn</cp:lastModifiedBy>
  <cp:lastPrinted>2010-10-22T08:49:00Z</cp:lastPrinted>
  <dcterms:modified xsi:type="dcterms:W3CDTF">2022-01-18T02:27:52Z</dcterms:modified>
  <dc:title>询价采购文件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FA63EFD0CFF94398A39F2701E56B2C5D</vt:lpwstr>
  </property>
</Properties>
</file>